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36" w:rsidRPr="00533036" w:rsidRDefault="00533036" w:rsidP="00533036">
      <w:pPr>
        <w:autoSpaceDE w:val="0"/>
        <w:autoSpaceDN w:val="0"/>
        <w:adjustRightInd w:val="0"/>
        <w:spacing w:after="0"/>
        <w:jc w:val="center"/>
        <w:rPr>
          <w:rFonts w:cs="Arial"/>
          <w:b/>
          <w:bCs/>
          <w:color w:val="000000"/>
          <w:sz w:val="24"/>
          <w:szCs w:val="24"/>
        </w:rPr>
      </w:pPr>
      <w:bookmarkStart w:id="0" w:name="_GoBack"/>
      <w:bookmarkEnd w:id="0"/>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Default="00533036" w:rsidP="00533036">
      <w:pPr>
        <w:autoSpaceDE w:val="0"/>
        <w:autoSpaceDN w:val="0"/>
        <w:adjustRightInd w:val="0"/>
        <w:spacing w:after="0"/>
        <w:jc w:val="center"/>
        <w:rPr>
          <w:rFonts w:cs="Arial"/>
          <w:b/>
          <w:bCs/>
          <w:color w:val="000000"/>
          <w:sz w:val="24"/>
          <w:szCs w:val="24"/>
        </w:rPr>
      </w:pPr>
    </w:p>
    <w:p w:rsidR="00CD3EAE" w:rsidRDefault="00CD3EAE" w:rsidP="00533036">
      <w:pPr>
        <w:autoSpaceDE w:val="0"/>
        <w:autoSpaceDN w:val="0"/>
        <w:adjustRightInd w:val="0"/>
        <w:spacing w:after="0"/>
        <w:jc w:val="center"/>
        <w:rPr>
          <w:rFonts w:cs="Arial"/>
          <w:b/>
          <w:bCs/>
          <w:color w:val="000000"/>
          <w:sz w:val="24"/>
          <w:szCs w:val="24"/>
        </w:rPr>
      </w:pPr>
    </w:p>
    <w:p w:rsidR="00CD3EAE" w:rsidRPr="00533036" w:rsidRDefault="00CD3EAE"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52"/>
          <w:szCs w:val="52"/>
        </w:rPr>
      </w:pPr>
      <w:r w:rsidRPr="00533036">
        <w:rPr>
          <w:rFonts w:cs="Arial"/>
          <w:b/>
          <w:bCs/>
          <w:color w:val="000000"/>
          <w:sz w:val="52"/>
          <w:szCs w:val="52"/>
        </w:rPr>
        <w:t>KJARASAMNINGUR</w:t>
      </w:r>
    </w:p>
    <w:p w:rsidR="00533036" w:rsidRDefault="00533036" w:rsidP="00533036">
      <w:pPr>
        <w:autoSpaceDE w:val="0"/>
        <w:autoSpaceDN w:val="0"/>
        <w:adjustRightInd w:val="0"/>
        <w:spacing w:after="0"/>
        <w:jc w:val="center"/>
        <w:rPr>
          <w:rFonts w:cs="Arial"/>
          <w:b/>
          <w:bCs/>
          <w:color w:val="000000"/>
          <w:sz w:val="24"/>
          <w:szCs w:val="24"/>
        </w:rPr>
      </w:pPr>
    </w:p>
    <w:p w:rsidR="004E5F4A" w:rsidRPr="00533036" w:rsidRDefault="004E5F4A"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line="240" w:lineRule="auto"/>
        <w:jc w:val="center"/>
        <w:rPr>
          <w:rFonts w:ascii="Arial" w:hAnsi="Arial" w:cs="Arial"/>
          <w:b/>
          <w:bCs/>
          <w:color w:val="1F497D" w:themeColor="text2"/>
          <w:sz w:val="30"/>
          <w:szCs w:val="30"/>
        </w:rPr>
      </w:pPr>
      <w:r w:rsidRPr="00533036">
        <w:rPr>
          <w:rFonts w:ascii="Arial" w:hAnsi="Arial" w:cs="Arial"/>
          <w:b/>
          <w:bCs/>
          <w:color w:val="1F497D" w:themeColor="text2"/>
          <w:sz w:val="30"/>
          <w:szCs w:val="30"/>
        </w:rPr>
        <w:t>SAMBANDS ÍSLENSKRA SVEITARFÉLAGA</w:t>
      </w:r>
    </w:p>
    <w:p w:rsidR="00533036" w:rsidRPr="00533036" w:rsidRDefault="00533036" w:rsidP="00533036">
      <w:pPr>
        <w:autoSpaceDE w:val="0"/>
        <w:autoSpaceDN w:val="0"/>
        <w:adjustRightInd w:val="0"/>
        <w:spacing w:after="0"/>
        <w:jc w:val="center"/>
        <w:rPr>
          <w:rFonts w:cs="Arial"/>
          <w:b/>
          <w:bCs/>
          <w:caps/>
          <w:color w:val="000000"/>
          <w:sz w:val="24"/>
          <w:szCs w:val="24"/>
        </w:rPr>
      </w:pPr>
      <w:r w:rsidRPr="00533036">
        <w:rPr>
          <w:rFonts w:cs="Arial"/>
          <w:b/>
          <w:bCs/>
          <w:caps/>
          <w:color w:val="000000"/>
          <w:sz w:val="24"/>
          <w:szCs w:val="24"/>
        </w:rPr>
        <w:t>f.h. þeirra sveitarfélaga og</w:t>
      </w:r>
    </w:p>
    <w:p w:rsidR="00533036" w:rsidRPr="00533036" w:rsidRDefault="00533036" w:rsidP="00533036">
      <w:pPr>
        <w:autoSpaceDE w:val="0"/>
        <w:autoSpaceDN w:val="0"/>
        <w:adjustRightInd w:val="0"/>
        <w:spacing w:after="0"/>
        <w:jc w:val="center"/>
        <w:rPr>
          <w:rFonts w:cs="Arial"/>
          <w:b/>
          <w:bCs/>
          <w:caps/>
          <w:color w:val="000000"/>
          <w:sz w:val="24"/>
          <w:szCs w:val="24"/>
        </w:rPr>
      </w:pPr>
      <w:r w:rsidRPr="00533036">
        <w:rPr>
          <w:rFonts w:cs="Arial"/>
          <w:b/>
          <w:bCs/>
          <w:caps/>
          <w:color w:val="000000"/>
          <w:sz w:val="24"/>
          <w:szCs w:val="24"/>
        </w:rPr>
        <w:t>annarra aðila sem hún hefur</w:t>
      </w:r>
    </w:p>
    <w:p w:rsidR="00533036" w:rsidRPr="00533036" w:rsidRDefault="00533036" w:rsidP="00533036">
      <w:pPr>
        <w:autoSpaceDE w:val="0"/>
        <w:autoSpaceDN w:val="0"/>
        <w:adjustRightInd w:val="0"/>
        <w:spacing w:after="0"/>
        <w:jc w:val="center"/>
        <w:rPr>
          <w:rFonts w:cs="Arial"/>
          <w:b/>
          <w:bCs/>
          <w:caps/>
          <w:color w:val="000000"/>
          <w:sz w:val="24"/>
          <w:szCs w:val="24"/>
        </w:rPr>
      </w:pPr>
      <w:r w:rsidRPr="00533036">
        <w:rPr>
          <w:rFonts w:cs="Arial"/>
          <w:b/>
          <w:bCs/>
          <w:caps/>
          <w:color w:val="000000"/>
          <w:sz w:val="24"/>
          <w:szCs w:val="24"/>
        </w:rPr>
        <w:t>samningsumboð fyrir</w:t>
      </w:r>
    </w:p>
    <w:p w:rsidR="00533036" w:rsidRPr="00533036" w:rsidRDefault="00533036" w:rsidP="00533036">
      <w:pPr>
        <w:autoSpaceDE w:val="0"/>
        <w:autoSpaceDN w:val="0"/>
        <w:adjustRightInd w:val="0"/>
        <w:spacing w:after="0" w:line="240" w:lineRule="auto"/>
        <w:jc w:val="center"/>
        <w:rPr>
          <w:rFonts w:ascii="Arial" w:hAnsi="Arial" w:cs="Arial"/>
          <w:color w:val="000000"/>
          <w:sz w:val="23"/>
          <w:szCs w:val="23"/>
        </w:rPr>
      </w:pPr>
    </w:p>
    <w:p w:rsidR="00533036" w:rsidRPr="00533036" w:rsidRDefault="00533036" w:rsidP="00533036">
      <w:pPr>
        <w:autoSpaceDE w:val="0"/>
        <w:autoSpaceDN w:val="0"/>
        <w:adjustRightInd w:val="0"/>
        <w:spacing w:after="0"/>
        <w:jc w:val="center"/>
        <w:rPr>
          <w:rFonts w:cs="Arial"/>
          <w:b/>
          <w:bCs/>
          <w:caps/>
          <w:color w:val="000000"/>
          <w:sz w:val="24"/>
          <w:szCs w:val="24"/>
        </w:rPr>
      </w:pPr>
      <w:r w:rsidRPr="00533036">
        <w:rPr>
          <w:rFonts w:cs="Arial"/>
          <w:b/>
          <w:bCs/>
          <w:caps/>
          <w:color w:val="000000"/>
          <w:sz w:val="24"/>
          <w:szCs w:val="24"/>
        </w:rPr>
        <w:t>OG</w:t>
      </w:r>
    </w:p>
    <w:p w:rsidR="00533036" w:rsidRPr="00533036" w:rsidRDefault="00533036" w:rsidP="00533036">
      <w:pPr>
        <w:autoSpaceDE w:val="0"/>
        <w:autoSpaceDN w:val="0"/>
        <w:adjustRightInd w:val="0"/>
        <w:spacing w:after="0" w:line="240" w:lineRule="auto"/>
        <w:jc w:val="center"/>
        <w:rPr>
          <w:rFonts w:ascii="Arial" w:hAnsi="Arial" w:cs="Arial"/>
          <w:color w:val="000000"/>
          <w:sz w:val="23"/>
          <w:szCs w:val="23"/>
        </w:rPr>
      </w:pPr>
    </w:p>
    <w:p w:rsidR="002E381E" w:rsidRPr="002E381E" w:rsidRDefault="003E42C5" w:rsidP="002E381E">
      <w:pPr>
        <w:autoSpaceDE w:val="0"/>
        <w:autoSpaceDN w:val="0"/>
        <w:adjustRightInd w:val="0"/>
        <w:spacing w:after="0" w:line="240" w:lineRule="auto"/>
        <w:jc w:val="center"/>
        <w:rPr>
          <w:rFonts w:ascii="Arial" w:hAnsi="Arial" w:cs="Arial"/>
          <w:b/>
          <w:bCs/>
          <w:color w:val="1F497D" w:themeColor="text2"/>
          <w:sz w:val="30"/>
          <w:szCs w:val="30"/>
        </w:rPr>
      </w:pPr>
      <w:r>
        <w:rPr>
          <w:rFonts w:ascii="Arial" w:hAnsi="Arial" w:cs="Arial"/>
          <w:b/>
          <w:bCs/>
          <w:color w:val="1F497D" w:themeColor="text2"/>
          <w:sz w:val="30"/>
          <w:szCs w:val="30"/>
        </w:rPr>
        <w:t>MATVÍS</w:t>
      </w:r>
    </w:p>
    <w:p w:rsidR="002E381E" w:rsidRDefault="002E381E" w:rsidP="00F6326F">
      <w:pPr>
        <w:autoSpaceDE w:val="0"/>
        <w:autoSpaceDN w:val="0"/>
        <w:adjustRightInd w:val="0"/>
        <w:spacing w:after="0"/>
        <w:jc w:val="center"/>
        <w:rPr>
          <w:rFonts w:cs="Arial"/>
          <w:b/>
          <w:bCs/>
          <w:caps/>
          <w:color w:val="000000"/>
          <w:sz w:val="24"/>
          <w:szCs w:val="24"/>
        </w:rPr>
      </w:pPr>
    </w:p>
    <w:p w:rsidR="002E381E" w:rsidRDefault="002E381E" w:rsidP="00F6326F">
      <w:pPr>
        <w:autoSpaceDE w:val="0"/>
        <w:autoSpaceDN w:val="0"/>
        <w:adjustRightInd w:val="0"/>
        <w:spacing w:after="0"/>
        <w:jc w:val="center"/>
        <w:rPr>
          <w:rFonts w:cs="Arial"/>
          <w:b/>
          <w:bCs/>
          <w:caps/>
          <w:color w:val="000000"/>
          <w:sz w:val="24"/>
          <w:szCs w:val="24"/>
        </w:rPr>
      </w:pPr>
    </w:p>
    <w:p w:rsidR="002E381E" w:rsidRPr="00F6326F" w:rsidRDefault="002E381E" w:rsidP="00F6326F">
      <w:pPr>
        <w:autoSpaceDE w:val="0"/>
        <w:autoSpaceDN w:val="0"/>
        <w:adjustRightInd w:val="0"/>
        <w:spacing w:after="0"/>
        <w:jc w:val="center"/>
        <w:rPr>
          <w:rFonts w:cs="Arial"/>
          <w:b/>
          <w:bCs/>
          <w:caps/>
          <w:color w:val="000000"/>
          <w:sz w:val="24"/>
          <w:szCs w:val="24"/>
        </w:rPr>
      </w:pPr>
    </w:p>
    <w:p w:rsidR="00F6326F" w:rsidRDefault="00F6326F" w:rsidP="00F6326F">
      <w:pPr>
        <w:autoSpaceDE w:val="0"/>
        <w:autoSpaceDN w:val="0"/>
        <w:adjustRightInd w:val="0"/>
        <w:spacing w:after="0"/>
        <w:jc w:val="center"/>
        <w:rPr>
          <w:rFonts w:ascii="Arial" w:hAnsi="Arial" w:cs="Arial"/>
          <w:b/>
          <w:bCs/>
          <w:sz w:val="23"/>
          <w:szCs w:val="23"/>
        </w:rPr>
      </w:pPr>
    </w:p>
    <w:p w:rsidR="00F6326F" w:rsidRDefault="00F6326F" w:rsidP="00F6326F">
      <w:pPr>
        <w:autoSpaceDE w:val="0"/>
        <w:autoSpaceDN w:val="0"/>
        <w:adjustRightInd w:val="0"/>
        <w:spacing w:after="0" w:line="240" w:lineRule="auto"/>
        <w:jc w:val="center"/>
        <w:rPr>
          <w:rFonts w:ascii="Arial" w:hAnsi="Arial" w:cs="Arial"/>
          <w:b/>
          <w:bCs/>
          <w:sz w:val="23"/>
          <w:szCs w:val="23"/>
        </w:rPr>
      </w:pPr>
    </w:p>
    <w:p w:rsidR="00F6326F" w:rsidRDefault="00F6326F" w:rsidP="00F6326F">
      <w:pPr>
        <w:autoSpaceDE w:val="0"/>
        <w:autoSpaceDN w:val="0"/>
        <w:adjustRightInd w:val="0"/>
        <w:spacing w:after="0" w:line="240" w:lineRule="auto"/>
        <w:jc w:val="center"/>
        <w:rPr>
          <w:rFonts w:ascii="Arial" w:hAnsi="Arial" w:cs="Arial"/>
          <w:b/>
          <w:bCs/>
          <w:sz w:val="23"/>
          <w:szCs w:val="23"/>
        </w:rPr>
      </w:pPr>
    </w:p>
    <w:p w:rsidR="00DD7159" w:rsidRPr="00533036" w:rsidRDefault="00DD7159" w:rsidP="00DD7159">
      <w:pPr>
        <w:autoSpaceDE w:val="0"/>
        <w:autoSpaceDN w:val="0"/>
        <w:adjustRightInd w:val="0"/>
        <w:spacing w:after="0"/>
        <w:jc w:val="center"/>
        <w:rPr>
          <w:rFonts w:cs="Arial"/>
          <w:b/>
          <w:bCs/>
          <w:color w:val="000000"/>
          <w:sz w:val="24"/>
          <w:szCs w:val="24"/>
        </w:rPr>
      </w:pPr>
    </w:p>
    <w:p w:rsidR="00533036" w:rsidRPr="00533036" w:rsidRDefault="00533036" w:rsidP="00533036">
      <w:pPr>
        <w:autoSpaceDE w:val="0"/>
        <w:autoSpaceDN w:val="0"/>
        <w:adjustRightInd w:val="0"/>
        <w:spacing w:after="0"/>
        <w:jc w:val="center"/>
        <w:rPr>
          <w:rFonts w:cs="Arial"/>
          <w:b/>
          <w:bCs/>
          <w:color w:val="000000"/>
          <w:sz w:val="24"/>
          <w:szCs w:val="24"/>
        </w:rPr>
      </w:pPr>
      <w:r w:rsidRPr="00533036">
        <w:rPr>
          <w:rFonts w:cs="Arial"/>
          <w:b/>
          <w:bCs/>
          <w:color w:val="000000"/>
          <w:sz w:val="24"/>
          <w:szCs w:val="24"/>
        </w:rPr>
        <w:t>SAMKOMULAG UM BREYTINGAR OG FRAMLENGINGU</w:t>
      </w:r>
      <w:r w:rsidR="00BA3212">
        <w:rPr>
          <w:rFonts w:cs="Arial"/>
          <w:b/>
          <w:bCs/>
          <w:color w:val="000000"/>
          <w:sz w:val="24"/>
          <w:szCs w:val="24"/>
        </w:rPr>
        <w:t xml:space="preserve"> KJARASAMNINGS</w:t>
      </w:r>
    </w:p>
    <w:p w:rsidR="00533036" w:rsidRPr="00533036" w:rsidRDefault="00533036" w:rsidP="00533036">
      <w:pPr>
        <w:autoSpaceDE w:val="0"/>
        <w:autoSpaceDN w:val="0"/>
        <w:adjustRightInd w:val="0"/>
        <w:spacing w:after="0"/>
        <w:jc w:val="center"/>
        <w:rPr>
          <w:rFonts w:cs="Arial"/>
          <w:b/>
          <w:bCs/>
          <w:color w:val="000000"/>
          <w:sz w:val="24"/>
          <w:szCs w:val="24"/>
        </w:rPr>
      </w:pPr>
    </w:p>
    <w:p w:rsidR="004E5F4A" w:rsidRDefault="004E5F4A" w:rsidP="00533036">
      <w:pPr>
        <w:autoSpaceDE w:val="0"/>
        <w:autoSpaceDN w:val="0"/>
        <w:adjustRightInd w:val="0"/>
        <w:spacing w:after="0"/>
        <w:jc w:val="center"/>
        <w:rPr>
          <w:rFonts w:cs="Arial"/>
          <w:b/>
          <w:bCs/>
          <w:color w:val="000000"/>
          <w:sz w:val="24"/>
          <w:szCs w:val="24"/>
        </w:rPr>
      </w:pPr>
    </w:p>
    <w:p w:rsidR="004E5F4A" w:rsidRDefault="004E5F4A" w:rsidP="00533036">
      <w:pPr>
        <w:autoSpaceDE w:val="0"/>
        <w:autoSpaceDN w:val="0"/>
        <w:adjustRightInd w:val="0"/>
        <w:spacing w:after="0"/>
        <w:jc w:val="center"/>
        <w:rPr>
          <w:rFonts w:cs="Arial"/>
          <w:b/>
          <w:bCs/>
          <w:color w:val="000000"/>
          <w:sz w:val="24"/>
          <w:szCs w:val="24"/>
        </w:rPr>
      </w:pPr>
    </w:p>
    <w:p w:rsidR="00CD3EAE" w:rsidRDefault="00CD3EAE" w:rsidP="00533036">
      <w:pPr>
        <w:autoSpaceDE w:val="0"/>
        <w:autoSpaceDN w:val="0"/>
        <w:adjustRightInd w:val="0"/>
        <w:spacing w:after="0"/>
        <w:jc w:val="center"/>
        <w:rPr>
          <w:rFonts w:cs="Arial"/>
          <w:b/>
          <w:bCs/>
          <w:color w:val="000000"/>
          <w:sz w:val="24"/>
          <w:szCs w:val="24"/>
        </w:rPr>
      </w:pPr>
    </w:p>
    <w:p w:rsidR="00CD3EAE" w:rsidRDefault="00CD3EAE" w:rsidP="00533036">
      <w:pPr>
        <w:autoSpaceDE w:val="0"/>
        <w:autoSpaceDN w:val="0"/>
        <w:adjustRightInd w:val="0"/>
        <w:spacing w:after="0"/>
        <w:jc w:val="center"/>
        <w:rPr>
          <w:rFonts w:cs="Arial"/>
          <w:b/>
          <w:bCs/>
          <w:color w:val="000000"/>
          <w:sz w:val="24"/>
          <w:szCs w:val="24"/>
        </w:rPr>
      </w:pPr>
    </w:p>
    <w:p w:rsidR="00CD3EAE" w:rsidRPr="00533036" w:rsidRDefault="00CD3EAE" w:rsidP="00533036">
      <w:pPr>
        <w:autoSpaceDE w:val="0"/>
        <w:autoSpaceDN w:val="0"/>
        <w:adjustRightInd w:val="0"/>
        <w:spacing w:after="0"/>
        <w:jc w:val="center"/>
        <w:rPr>
          <w:rFonts w:cs="Arial"/>
          <w:b/>
          <w:bCs/>
          <w:color w:val="000000"/>
          <w:sz w:val="24"/>
          <w:szCs w:val="24"/>
        </w:rPr>
      </w:pPr>
    </w:p>
    <w:p w:rsidR="00533036" w:rsidRDefault="00533036" w:rsidP="00533036">
      <w:pPr>
        <w:autoSpaceDE w:val="0"/>
        <w:autoSpaceDN w:val="0"/>
        <w:adjustRightInd w:val="0"/>
        <w:spacing w:after="0"/>
        <w:jc w:val="center"/>
        <w:rPr>
          <w:rFonts w:cs="Arial"/>
          <w:b/>
          <w:bCs/>
          <w:color w:val="000000"/>
          <w:sz w:val="24"/>
          <w:szCs w:val="24"/>
        </w:rPr>
      </w:pPr>
      <w:r w:rsidRPr="00533036">
        <w:rPr>
          <w:rFonts w:cs="Arial"/>
          <w:b/>
          <w:bCs/>
          <w:color w:val="000000"/>
          <w:sz w:val="24"/>
          <w:szCs w:val="24"/>
        </w:rPr>
        <w:t>GILDISTÍMI:</w:t>
      </w:r>
    </w:p>
    <w:p w:rsidR="00BA3212" w:rsidRPr="00BA3212" w:rsidRDefault="00EE657D" w:rsidP="00BA3212">
      <w:pPr>
        <w:pStyle w:val="ListParagraph"/>
        <w:numPr>
          <w:ilvl w:val="0"/>
          <w:numId w:val="28"/>
        </w:numPr>
        <w:tabs>
          <w:tab w:val="left" w:pos="6946"/>
        </w:tabs>
        <w:jc w:val="center"/>
        <w:rPr>
          <w:rFonts w:cs="Arial"/>
          <w:b/>
          <w:bCs/>
          <w:color w:val="1F497D" w:themeColor="text2"/>
          <w:sz w:val="28"/>
          <w:szCs w:val="28"/>
        </w:rPr>
      </w:pPr>
      <w:r>
        <w:rPr>
          <w:rFonts w:cs="Arial"/>
          <w:b/>
          <w:bCs/>
          <w:color w:val="1F497D" w:themeColor="text2"/>
          <w:sz w:val="28"/>
          <w:szCs w:val="28"/>
        </w:rPr>
        <w:t>MAÍ</w:t>
      </w:r>
      <w:r w:rsidR="00BA3212" w:rsidRPr="00BA3212">
        <w:rPr>
          <w:rFonts w:cs="Arial"/>
          <w:b/>
          <w:bCs/>
          <w:color w:val="1F497D" w:themeColor="text2"/>
          <w:sz w:val="28"/>
          <w:szCs w:val="28"/>
        </w:rPr>
        <w:t xml:space="preserve"> 2014 til 30. </w:t>
      </w:r>
      <w:r w:rsidR="00BA3212">
        <w:rPr>
          <w:rFonts w:cs="Arial"/>
          <w:b/>
          <w:bCs/>
          <w:color w:val="1F497D" w:themeColor="text2"/>
          <w:sz w:val="28"/>
          <w:szCs w:val="28"/>
        </w:rPr>
        <w:t>APRÍL</w:t>
      </w:r>
      <w:r w:rsidR="00BA3212" w:rsidRPr="00BA3212">
        <w:rPr>
          <w:rFonts w:cs="Arial"/>
          <w:b/>
          <w:bCs/>
          <w:color w:val="1F497D" w:themeColor="text2"/>
          <w:sz w:val="28"/>
          <w:szCs w:val="28"/>
        </w:rPr>
        <w:t xml:space="preserve"> 2015</w:t>
      </w:r>
    </w:p>
    <w:p w:rsidR="00BA3212" w:rsidRPr="00533036" w:rsidRDefault="00BA3212" w:rsidP="00BA3212">
      <w:pPr>
        <w:jc w:val="both"/>
        <w:rPr>
          <w:rFonts w:ascii="Arial" w:hAnsi="Arial" w:cs="Arial"/>
          <w:b/>
        </w:rPr>
      </w:pPr>
    </w:p>
    <w:p w:rsidR="006233BD" w:rsidRDefault="006233BD" w:rsidP="00C34538">
      <w:pPr>
        <w:jc w:val="both"/>
        <w:rPr>
          <w:rFonts w:ascii="Arial" w:hAnsi="Arial" w:cs="Arial"/>
          <w:b/>
        </w:rPr>
      </w:pPr>
    </w:p>
    <w:p w:rsidR="00533036" w:rsidRDefault="00533036" w:rsidP="00C34538">
      <w:pPr>
        <w:jc w:val="both"/>
        <w:rPr>
          <w:rFonts w:ascii="Arial" w:hAnsi="Arial" w:cs="Arial"/>
          <w:b/>
        </w:rPr>
      </w:pPr>
    </w:p>
    <w:p w:rsidR="004E5F4A" w:rsidRDefault="004E5F4A" w:rsidP="00C34538">
      <w:pPr>
        <w:jc w:val="both"/>
        <w:rPr>
          <w:rFonts w:ascii="Arial" w:hAnsi="Arial" w:cs="Arial"/>
          <w:b/>
        </w:rPr>
      </w:pPr>
    </w:p>
    <w:p w:rsidR="004E5F4A" w:rsidRDefault="004E5F4A" w:rsidP="00C34538">
      <w:pPr>
        <w:jc w:val="both"/>
        <w:rPr>
          <w:rFonts w:ascii="Arial" w:hAnsi="Arial" w:cs="Arial"/>
          <w:b/>
        </w:rPr>
      </w:pPr>
    </w:p>
    <w:p w:rsidR="004E5F4A" w:rsidRDefault="004E5F4A" w:rsidP="00C34538">
      <w:pPr>
        <w:jc w:val="both"/>
        <w:rPr>
          <w:rFonts w:ascii="Arial" w:hAnsi="Arial" w:cs="Arial"/>
          <w:b/>
        </w:rPr>
      </w:pPr>
    </w:p>
    <w:p w:rsidR="004E5F4A" w:rsidRDefault="004E5F4A" w:rsidP="00C34538">
      <w:pPr>
        <w:jc w:val="both"/>
        <w:rPr>
          <w:rFonts w:ascii="Arial" w:hAnsi="Arial" w:cs="Arial"/>
          <w:b/>
        </w:rPr>
      </w:pPr>
    </w:p>
    <w:p w:rsidR="00533036" w:rsidRDefault="00533036" w:rsidP="00C34538">
      <w:pPr>
        <w:jc w:val="both"/>
        <w:rPr>
          <w:rFonts w:ascii="Arial" w:hAnsi="Arial" w:cs="Arial"/>
          <w:b/>
        </w:rPr>
      </w:pPr>
    </w:p>
    <w:sdt>
      <w:sdtPr>
        <w:rPr>
          <w:rFonts w:asciiTheme="minorHAnsi" w:eastAsiaTheme="minorHAnsi" w:hAnsiTheme="minorHAnsi" w:cstheme="minorBidi"/>
          <w:color w:val="auto"/>
          <w:sz w:val="22"/>
          <w:szCs w:val="22"/>
          <w:lang w:val="is-IS"/>
        </w:rPr>
        <w:id w:val="-1300680207"/>
        <w:docPartObj>
          <w:docPartGallery w:val="Table of Contents"/>
          <w:docPartUnique/>
        </w:docPartObj>
      </w:sdtPr>
      <w:sdtEndPr>
        <w:rPr>
          <w:b/>
          <w:bCs/>
          <w:noProof/>
        </w:rPr>
      </w:sdtEndPr>
      <w:sdtContent>
        <w:p w:rsidR="00BA3212" w:rsidRPr="00BA3212" w:rsidRDefault="00BA3212">
          <w:pPr>
            <w:pStyle w:val="TOCHeading"/>
            <w:rPr>
              <w:rFonts w:ascii="Arial" w:hAnsi="Arial" w:cs="Arial"/>
              <w:b/>
              <w:color w:val="1F497D" w:themeColor="text2"/>
              <w:sz w:val="28"/>
              <w:szCs w:val="28"/>
            </w:rPr>
          </w:pPr>
          <w:r w:rsidRPr="00BA3212">
            <w:rPr>
              <w:rFonts w:ascii="Arial" w:hAnsi="Arial" w:cs="Arial"/>
              <w:b/>
              <w:color w:val="1F497D" w:themeColor="text2"/>
              <w:sz w:val="28"/>
              <w:szCs w:val="28"/>
            </w:rPr>
            <w:t>EFNISYFIRLIT</w:t>
          </w:r>
        </w:p>
        <w:p w:rsidR="009019E7" w:rsidRDefault="00BA3212">
          <w:pPr>
            <w:pStyle w:val="TOC1"/>
            <w:tabs>
              <w:tab w:val="left" w:pos="440"/>
              <w:tab w:val="right" w:leader="dot" w:pos="9062"/>
            </w:tabs>
            <w:rPr>
              <w:rFonts w:eastAsiaTheme="minorEastAsia"/>
              <w:noProof/>
              <w:lang w:eastAsia="is-IS"/>
            </w:rPr>
          </w:pPr>
          <w:r>
            <w:fldChar w:fldCharType="begin"/>
          </w:r>
          <w:r>
            <w:instrText xml:space="preserve"> TOC \o "1-3" \h \z \u </w:instrText>
          </w:r>
          <w:r>
            <w:fldChar w:fldCharType="separate"/>
          </w:r>
          <w:hyperlink w:anchor="_Toc395790985" w:history="1">
            <w:r w:rsidR="009019E7" w:rsidRPr="00D96227">
              <w:rPr>
                <w:rStyle w:val="Hyperlink"/>
                <w:rFonts w:eastAsia="Calibri"/>
                <w:noProof/>
              </w:rPr>
              <w:t>1.</w:t>
            </w:r>
            <w:r w:rsidR="009019E7">
              <w:rPr>
                <w:rFonts w:eastAsiaTheme="minorEastAsia"/>
                <w:noProof/>
                <w:lang w:eastAsia="is-IS"/>
              </w:rPr>
              <w:tab/>
            </w:r>
            <w:r w:rsidR="009019E7" w:rsidRPr="00D96227">
              <w:rPr>
                <w:rStyle w:val="Hyperlink"/>
                <w:noProof/>
              </w:rPr>
              <w:t>Inngangur</w:t>
            </w:r>
            <w:r w:rsidR="009019E7">
              <w:rPr>
                <w:noProof/>
                <w:webHidden/>
              </w:rPr>
              <w:tab/>
            </w:r>
            <w:r w:rsidR="009019E7">
              <w:rPr>
                <w:noProof/>
                <w:webHidden/>
              </w:rPr>
              <w:fldChar w:fldCharType="begin"/>
            </w:r>
            <w:r w:rsidR="009019E7">
              <w:rPr>
                <w:noProof/>
                <w:webHidden/>
              </w:rPr>
              <w:instrText xml:space="preserve"> PAGEREF _Toc395790985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86" w:history="1">
            <w:r w:rsidR="009019E7" w:rsidRPr="00D96227">
              <w:rPr>
                <w:rStyle w:val="Hyperlink"/>
                <w:rFonts w:eastAsia="Calibri" w:cs="Arial"/>
                <w:noProof/>
              </w:rPr>
              <w:t>2.</w:t>
            </w:r>
            <w:r w:rsidR="009019E7">
              <w:rPr>
                <w:rFonts w:eastAsiaTheme="minorEastAsia"/>
                <w:noProof/>
                <w:lang w:eastAsia="is-IS"/>
              </w:rPr>
              <w:tab/>
            </w:r>
            <w:r w:rsidR="009019E7" w:rsidRPr="00D96227">
              <w:rPr>
                <w:rStyle w:val="Hyperlink"/>
                <w:rFonts w:eastAsia="Calibri"/>
                <w:noProof/>
              </w:rPr>
              <w:t>Framlenging</w:t>
            </w:r>
            <w:r w:rsidR="009019E7" w:rsidRPr="00D96227">
              <w:rPr>
                <w:rStyle w:val="Hyperlink"/>
                <w:rFonts w:eastAsia="Calibri" w:cs="Arial"/>
                <w:noProof/>
              </w:rPr>
              <w:t xml:space="preserve"> gildandi kjarasamninga</w:t>
            </w:r>
            <w:r w:rsidR="009019E7">
              <w:rPr>
                <w:noProof/>
                <w:webHidden/>
              </w:rPr>
              <w:tab/>
            </w:r>
            <w:r w:rsidR="009019E7">
              <w:rPr>
                <w:noProof/>
                <w:webHidden/>
              </w:rPr>
              <w:fldChar w:fldCharType="begin"/>
            </w:r>
            <w:r w:rsidR="009019E7">
              <w:rPr>
                <w:noProof/>
                <w:webHidden/>
              </w:rPr>
              <w:instrText xml:space="preserve"> PAGEREF _Toc395790986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87" w:history="1">
            <w:r w:rsidR="009019E7" w:rsidRPr="00D96227">
              <w:rPr>
                <w:rStyle w:val="Hyperlink"/>
                <w:rFonts w:eastAsia="Calibri" w:cs="Arial"/>
                <w:noProof/>
              </w:rPr>
              <w:t>3.</w:t>
            </w:r>
            <w:r w:rsidR="009019E7">
              <w:rPr>
                <w:rFonts w:eastAsiaTheme="minorEastAsia"/>
                <w:noProof/>
                <w:lang w:eastAsia="is-IS"/>
              </w:rPr>
              <w:tab/>
            </w:r>
            <w:r w:rsidR="009019E7" w:rsidRPr="00D96227">
              <w:rPr>
                <w:rStyle w:val="Hyperlink"/>
                <w:rFonts w:eastAsia="Calibri"/>
                <w:noProof/>
              </w:rPr>
              <w:t>Laun samkvæmt</w:t>
            </w:r>
            <w:r w:rsidR="009019E7" w:rsidRPr="00D96227">
              <w:rPr>
                <w:rStyle w:val="Hyperlink"/>
                <w:rFonts w:eastAsia="Calibri" w:cs="Arial"/>
                <w:noProof/>
              </w:rPr>
              <w:t xml:space="preserve"> gr. 1.1.1.</w:t>
            </w:r>
            <w:r w:rsidR="009019E7">
              <w:rPr>
                <w:noProof/>
                <w:webHidden/>
              </w:rPr>
              <w:tab/>
            </w:r>
            <w:r w:rsidR="009019E7">
              <w:rPr>
                <w:noProof/>
                <w:webHidden/>
              </w:rPr>
              <w:fldChar w:fldCharType="begin"/>
            </w:r>
            <w:r w:rsidR="009019E7">
              <w:rPr>
                <w:noProof/>
                <w:webHidden/>
              </w:rPr>
              <w:instrText xml:space="preserve"> PAGEREF _Toc395790987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88" w:history="1">
            <w:r w:rsidR="009019E7" w:rsidRPr="00D96227">
              <w:rPr>
                <w:rStyle w:val="Hyperlink"/>
                <w:rFonts w:eastAsia="Calibri" w:cs="Arial"/>
                <w:noProof/>
              </w:rPr>
              <w:t>4.</w:t>
            </w:r>
            <w:r w:rsidR="009019E7">
              <w:rPr>
                <w:rFonts w:eastAsiaTheme="minorEastAsia"/>
                <w:noProof/>
                <w:lang w:eastAsia="is-IS"/>
              </w:rPr>
              <w:tab/>
            </w:r>
            <w:r w:rsidR="009019E7" w:rsidRPr="00D96227">
              <w:rPr>
                <w:rStyle w:val="Hyperlink"/>
                <w:rFonts w:eastAsia="Calibri"/>
                <w:noProof/>
              </w:rPr>
              <w:t>Lágmarkslaun</w:t>
            </w:r>
            <w:r w:rsidR="009019E7">
              <w:rPr>
                <w:noProof/>
                <w:webHidden/>
              </w:rPr>
              <w:tab/>
            </w:r>
            <w:r w:rsidR="009019E7">
              <w:rPr>
                <w:noProof/>
                <w:webHidden/>
              </w:rPr>
              <w:fldChar w:fldCharType="begin"/>
            </w:r>
            <w:r w:rsidR="009019E7">
              <w:rPr>
                <w:noProof/>
                <w:webHidden/>
              </w:rPr>
              <w:instrText xml:space="preserve"> PAGEREF _Toc395790988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89" w:history="1">
            <w:r w:rsidR="009019E7" w:rsidRPr="00D96227">
              <w:rPr>
                <w:rStyle w:val="Hyperlink"/>
                <w:rFonts w:eastAsia="Calibri" w:cs="Arial"/>
                <w:noProof/>
              </w:rPr>
              <w:t>5.</w:t>
            </w:r>
            <w:r w:rsidR="009019E7">
              <w:rPr>
                <w:rFonts w:eastAsiaTheme="minorEastAsia"/>
                <w:noProof/>
                <w:lang w:eastAsia="is-IS"/>
              </w:rPr>
              <w:tab/>
            </w:r>
            <w:r w:rsidR="009019E7" w:rsidRPr="00D96227">
              <w:rPr>
                <w:rStyle w:val="Hyperlink"/>
                <w:rFonts w:eastAsia="Calibri"/>
                <w:noProof/>
              </w:rPr>
              <w:t>Persónuuppbót</w:t>
            </w:r>
            <w:r w:rsidR="009019E7" w:rsidRPr="00D96227">
              <w:rPr>
                <w:rStyle w:val="Hyperlink"/>
                <w:rFonts w:eastAsia="Calibri" w:cs="Arial"/>
                <w:noProof/>
              </w:rPr>
              <w:t xml:space="preserve"> / Desemberuppbót</w:t>
            </w:r>
            <w:r w:rsidR="009019E7">
              <w:rPr>
                <w:noProof/>
                <w:webHidden/>
              </w:rPr>
              <w:tab/>
            </w:r>
            <w:r w:rsidR="009019E7">
              <w:rPr>
                <w:noProof/>
                <w:webHidden/>
              </w:rPr>
              <w:fldChar w:fldCharType="begin"/>
            </w:r>
            <w:r w:rsidR="009019E7">
              <w:rPr>
                <w:noProof/>
                <w:webHidden/>
              </w:rPr>
              <w:instrText xml:space="preserve"> PAGEREF _Toc395790989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90" w:history="1">
            <w:r w:rsidR="009019E7" w:rsidRPr="00D96227">
              <w:rPr>
                <w:rStyle w:val="Hyperlink"/>
                <w:rFonts w:eastAsia="Calibri" w:cs="Arial"/>
                <w:noProof/>
              </w:rPr>
              <w:t>6.</w:t>
            </w:r>
            <w:r w:rsidR="009019E7">
              <w:rPr>
                <w:rFonts w:eastAsiaTheme="minorEastAsia"/>
                <w:noProof/>
                <w:lang w:eastAsia="is-IS"/>
              </w:rPr>
              <w:tab/>
            </w:r>
            <w:r w:rsidR="009019E7" w:rsidRPr="00D96227">
              <w:rPr>
                <w:rStyle w:val="Hyperlink"/>
                <w:rFonts w:eastAsia="Calibri" w:cs="Arial"/>
                <w:noProof/>
              </w:rPr>
              <w:t xml:space="preserve">Frídagar </w:t>
            </w:r>
            <w:r w:rsidR="009019E7" w:rsidRPr="00D96227">
              <w:rPr>
                <w:rStyle w:val="Hyperlink"/>
                <w:rFonts w:eastAsia="Calibri"/>
                <w:noProof/>
              </w:rPr>
              <w:t>vegna</w:t>
            </w:r>
            <w:r w:rsidR="009019E7" w:rsidRPr="00D96227">
              <w:rPr>
                <w:rStyle w:val="Hyperlink"/>
                <w:rFonts w:eastAsia="Calibri" w:cs="Arial"/>
                <w:noProof/>
              </w:rPr>
              <w:t xml:space="preserve"> yfirvinnu</w:t>
            </w:r>
            <w:r w:rsidR="009019E7">
              <w:rPr>
                <w:noProof/>
                <w:webHidden/>
              </w:rPr>
              <w:tab/>
            </w:r>
            <w:r w:rsidR="009019E7">
              <w:rPr>
                <w:noProof/>
                <w:webHidden/>
              </w:rPr>
              <w:fldChar w:fldCharType="begin"/>
            </w:r>
            <w:r w:rsidR="009019E7">
              <w:rPr>
                <w:noProof/>
                <w:webHidden/>
              </w:rPr>
              <w:instrText xml:space="preserve"> PAGEREF _Toc395790990 \h </w:instrText>
            </w:r>
            <w:r w:rsidR="009019E7">
              <w:rPr>
                <w:noProof/>
                <w:webHidden/>
              </w:rPr>
            </w:r>
            <w:r w:rsidR="009019E7">
              <w:rPr>
                <w:noProof/>
                <w:webHidden/>
              </w:rPr>
              <w:fldChar w:fldCharType="separate"/>
            </w:r>
            <w:r w:rsidR="00AF0350">
              <w:rPr>
                <w:noProof/>
                <w:webHidden/>
              </w:rPr>
              <w:t>3</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91" w:history="1">
            <w:r w:rsidR="009019E7" w:rsidRPr="00D96227">
              <w:rPr>
                <w:rStyle w:val="Hyperlink"/>
                <w:rFonts w:cs="Arial"/>
                <w:noProof/>
              </w:rPr>
              <w:t>7.</w:t>
            </w:r>
            <w:r w:rsidR="009019E7">
              <w:rPr>
                <w:rFonts w:eastAsiaTheme="minorEastAsia"/>
                <w:noProof/>
                <w:lang w:eastAsia="is-IS"/>
              </w:rPr>
              <w:tab/>
            </w:r>
            <w:r w:rsidR="009019E7" w:rsidRPr="00D96227">
              <w:rPr>
                <w:rStyle w:val="Hyperlink"/>
                <w:rFonts w:eastAsia="Calibri"/>
                <w:noProof/>
              </w:rPr>
              <w:t>Grein 2.6.7 um uppgjörsmáta á vinnu á sérstökum frídögum og stórhátíðum</w:t>
            </w:r>
            <w:r w:rsidR="009019E7">
              <w:rPr>
                <w:noProof/>
                <w:webHidden/>
              </w:rPr>
              <w:tab/>
            </w:r>
            <w:r w:rsidR="009019E7">
              <w:rPr>
                <w:noProof/>
                <w:webHidden/>
              </w:rPr>
              <w:fldChar w:fldCharType="begin"/>
            </w:r>
            <w:r w:rsidR="009019E7">
              <w:rPr>
                <w:noProof/>
                <w:webHidden/>
              </w:rPr>
              <w:instrText xml:space="preserve"> PAGEREF _Toc395790991 \h </w:instrText>
            </w:r>
            <w:r w:rsidR="009019E7">
              <w:rPr>
                <w:noProof/>
                <w:webHidden/>
              </w:rPr>
            </w:r>
            <w:r w:rsidR="009019E7">
              <w:rPr>
                <w:noProof/>
                <w:webHidden/>
              </w:rPr>
              <w:fldChar w:fldCharType="separate"/>
            </w:r>
            <w:r w:rsidR="00AF0350">
              <w:rPr>
                <w:noProof/>
                <w:webHidden/>
              </w:rPr>
              <w:t>4</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92" w:history="1">
            <w:r w:rsidR="009019E7" w:rsidRPr="00D96227">
              <w:rPr>
                <w:rStyle w:val="Hyperlink"/>
                <w:rFonts w:eastAsia="Calibri" w:cs="Arial"/>
                <w:noProof/>
              </w:rPr>
              <w:t>8.</w:t>
            </w:r>
            <w:r w:rsidR="009019E7">
              <w:rPr>
                <w:rFonts w:eastAsiaTheme="minorEastAsia"/>
                <w:noProof/>
                <w:lang w:eastAsia="is-IS"/>
              </w:rPr>
              <w:tab/>
            </w:r>
            <w:r w:rsidR="009019E7" w:rsidRPr="00D96227">
              <w:rPr>
                <w:rStyle w:val="Hyperlink"/>
                <w:rFonts w:eastAsia="Calibri"/>
                <w:noProof/>
              </w:rPr>
              <w:t>Ráðningarsamningar</w:t>
            </w:r>
            <w:r w:rsidR="009019E7">
              <w:rPr>
                <w:noProof/>
                <w:webHidden/>
              </w:rPr>
              <w:tab/>
            </w:r>
            <w:r w:rsidR="009019E7">
              <w:rPr>
                <w:noProof/>
                <w:webHidden/>
              </w:rPr>
              <w:fldChar w:fldCharType="begin"/>
            </w:r>
            <w:r w:rsidR="009019E7">
              <w:rPr>
                <w:noProof/>
                <w:webHidden/>
              </w:rPr>
              <w:instrText xml:space="preserve"> PAGEREF _Toc395790992 \h </w:instrText>
            </w:r>
            <w:r w:rsidR="009019E7">
              <w:rPr>
                <w:noProof/>
                <w:webHidden/>
              </w:rPr>
            </w:r>
            <w:r w:rsidR="009019E7">
              <w:rPr>
                <w:noProof/>
                <w:webHidden/>
              </w:rPr>
              <w:fldChar w:fldCharType="separate"/>
            </w:r>
            <w:r w:rsidR="00AF0350">
              <w:rPr>
                <w:noProof/>
                <w:webHidden/>
              </w:rPr>
              <w:t>4</w:t>
            </w:r>
            <w:r w:rsidR="009019E7">
              <w:rPr>
                <w:noProof/>
                <w:webHidden/>
              </w:rPr>
              <w:fldChar w:fldCharType="end"/>
            </w:r>
          </w:hyperlink>
        </w:p>
        <w:p w:rsidR="009019E7" w:rsidRDefault="003705DE">
          <w:pPr>
            <w:pStyle w:val="TOC1"/>
            <w:tabs>
              <w:tab w:val="left" w:pos="440"/>
              <w:tab w:val="right" w:leader="dot" w:pos="9062"/>
            </w:tabs>
            <w:rPr>
              <w:rFonts w:eastAsiaTheme="minorEastAsia"/>
              <w:noProof/>
              <w:lang w:eastAsia="is-IS"/>
            </w:rPr>
          </w:pPr>
          <w:hyperlink w:anchor="_Toc395790993" w:history="1">
            <w:r w:rsidR="009019E7" w:rsidRPr="00D96227">
              <w:rPr>
                <w:rStyle w:val="Hyperlink"/>
                <w:rFonts w:eastAsia="Calibri" w:cs="Arial"/>
                <w:noProof/>
              </w:rPr>
              <w:t>9.</w:t>
            </w:r>
            <w:r w:rsidR="009019E7">
              <w:rPr>
                <w:rFonts w:eastAsiaTheme="minorEastAsia"/>
                <w:noProof/>
                <w:lang w:eastAsia="is-IS"/>
              </w:rPr>
              <w:tab/>
            </w:r>
            <w:r w:rsidR="009019E7" w:rsidRPr="00D96227">
              <w:rPr>
                <w:rStyle w:val="Hyperlink"/>
                <w:rFonts w:eastAsia="Calibri"/>
                <w:noProof/>
              </w:rPr>
              <w:t>Starfsmenntunarsjóður</w:t>
            </w:r>
            <w:r w:rsidR="009019E7">
              <w:rPr>
                <w:noProof/>
                <w:webHidden/>
              </w:rPr>
              <w:tab/>
            </w:r>
            <w:r w:rsidR="009019E7">
              <w:rPr>
                <w:noProof/>
                <w:webHidden/>
              </w:rPr>
              <w:fldChar w:fldCharType="begin"/>
            </w:r>
            <w:r w:rsidR="009019E7">
              <w:rPr>
                <w:noProof/>
                <w:webHidden/>
              </w:rPr>
              <w:instrText xml:space="preserve"> PAGEREF _Toc395790993 \h </w:instrText>
            </w:r>
            <w:r w:rsidR="009019E7">
              <w:rPr>
                <w:noProof/>
                <w:webHidden/>
              </w:rPr>
            </w:r>
            <w:r w:rsidR="009019E7">
              <w:rPr>
                <w:noProof/>
                <w:webHidden/>
              </w:rPr>
              <w:fldChar w:fldCharType="separate"/>
            </w:r>
            <w:r w:rsidR="00AF0350">
              <w:rPr>
                <w:noProof/>
                <w:webHidden/>
              </w:rPr>
              <w:t>5</w:t>
            </w:r>
            <w:r w:rsidR="009019E7">
              <w:rPr>
                <w:noProof/>
                <w:webHidden/>
              </w:rPr>
              <w:fldChar w:fldCharType="end"/>
            </w:r>
          </w:hyperlink>
        </w:p>
        <w:p w:rsidR="009019E7" w:rsidRDefault="003705DE">
          <w:pPr>
            <w:pStyle w:val="TOC1"/>
            <w:tabs>
              <w:tab w:val="left" w:pos="660"/>
              <w:tab w:val="right" w:leader="dot" w:pos="9062"/>
            </w:tabs>
            <w:rPr>
              <w:rFonts w:eastAsiaTheme="minorEastAsia"/>
              <w:noProof/>
              <w:lang w:eastAsia="is-IS"/>
            </w:rPr>
          </w:pPr>
          <w:hyperlink w:anchor="_Toc395790994" w:history="1">
            <w:r w:rsidR="009019E7" w:rsidRPr="00D96227">
              <w:rPr>
                <w:rStyle w:val="Hyperlink"/>
                <w:rFonts w:eastAsia="Calibri" w:cs="Arial"/>
                <w:noProof/>
              </w:rPr>
              <w:t>10.</w:t>
            </w:r>
            <w:r w:rsidR="009019E7">
              <w:rPr>
                <w:rFonts w:eastAsiaTheme="minorEastAsia"/>
                <w:noProof/>
                <w:lang w:eastAsia="is-IS"/>
              </w:rPr>
              <w:tab/>
            </w:r>
            <w:r w:rsidR="009019E7" w:rsidRPr="00D96227">
              <w:rPr>
                <w:rStyle w:val="Hyperlink"/>
                <w:rFonts w:eastAsia="Calibri"/>
                <w:noProof/>
              </w:rPr>
              <w:t>Atkvæðagreiðsla</w:t>
            </w:r>
            <w:r w:rsidR="009019E7">
              <w:rPr>
                <w:noProof/>
                <w:webHidden/>
              </w:rPr>
              <w:tab/>
            </w:r>
            <w:r w:rsidR="009019E7">
              <w:rPr>
                <w:noProof/>
                <w:webHidden/>
              </w:rPr>
              <w:fldChar w:fldCharType="begin"/>
            </w:r>
            <w:r w:rsidR="009019E7">
              <w:rPr>
                <w:noProof/>
                <w:webHidden/>
              </w:rPr>
              <w:instrText xml:space="preserve"> PAGEREF _Toc395790994 \h </w:instrText>
            </w:r>
            <w:r w:rsidR="009019E7">
              <w:rPr>
                <w:noProof/>
                <w:webHidden/>
              </w:rPr>
            </w:r>
            <w:r w:rsidR="009019E7">
              <w:rPr>
                <w:noProof/>
                <w:webHidden/>
              </w:rPr>
              <w:fldChar w:fldCharType="separate"/>
            </w:r>
            <w:r w:rsidR="00AF0350">
              <w:rPr>
                <w:noProof/>
                <w:webHidden/>
              </w:rPr>
              <w:t>5</w:t>
            </w:r>
            <w:r w:rsidR="009019E7">
              <w:rPr>
                <w:noProof/>
                <w:webHidden/>
              </w:rPr>
              <w:fldChar w:fldCharType="end"/>
            </w:r>
          </w:hyperlink>
        </w:p>
        <w:p w:rsidR="009019E7" w:rsidRDefault="003705DE">
          <w:pPr>
            <w:pStyle w:val="TOC1"/>
            <w:tabs>
              <w:tab w:val="left" w:pos="660"/>
              <w:tab w:val="right" w:leader="dot" w:pos="9062"/>
            </w:tabs>
            <w:rPr>
              <w:rFonts w:eastAsiaTheme="minorEastAsia"/>
              <w:noProof/>
              <w:lang w:eastAsia="is-IS"/>
            </w:rPr>
          </w:pPr>
          <w:hyperlink w:anchor="_Toc395790995" w:history="1">
            <w:r w:rsidR="009019E7" w:rsidRPr="00D96227">
              <w:rPr>
                <w:rStyle w:val="Hyperlink"/>
                <w:rFonts w:eastAsia="Calibri" w:cs="Arial"/>
                <w:noProof/>
              </w:rPr>
              <w:t>11.</w:t>
            </w:r>
            <w:r w:rsidR="009019E7">
              <w:rPr>
                <w:rFonts w:eastAsiaTheme="minorEastAsia"/>
                <w:noProof/>
                <w:lang w:eastAsia="is-IS"/>
              </w:rPr>
              <w:tab/>
            </w:r>
            <w:r w:rsidR="009019E7" w:rsidRPr="00D96227">
              <w:rPr>
                <w:rStyle w:val="Hyperlink"/>
                <w:rFonts w:eastAsia="Calibri" w:cs="Arial"/>
                <w:noProof/>
              </w:rPr>
              <w:t>Bókanir með kjarasamningi</w:t>
            </w:r>
            <w:r w:rsidR="009019E7">
              <w:rPr>
                <w:noProof/>
                <w:webHidden/>
              </w:rPr>
              <w:tab/>
            </w:r>
            <w:r w:rsidR="009019E7">
              <w:rPr>
                <w:noProof/>
                <w:webHidden/>
              </w:rPr>
              <w:fldChar w:fldCharType="begin"/>
            </w:r>
            <w:r w:rsidR="009019E7">
              <w:rPr>
                <w:noProof/>
                <w:webHidden/>
              </w:rPr>
              <w:instrText xml:space="preserve"> PAGEREF _Toc395790995 \h </w:instrText>
            </w:r>
            <w:r w:rsidR="009019E7">
              <w:rPr>
                <w:noProof/>
                <w:webHidden/>
              </w:rPr>
            </w:r>
            <w:r w:rsidR="009019E7">
              <w:rPr>
                <w:noProof/>
                <w:webHidden/>
              </w:rPr>
              <w:fldChar w:fldCharType="separate"/>
            </w:r>
            <w:r w:rsidR="00AF0350">
              <w:rPr>
                <w:noProof/>
                <w:webHidden/>
              </w:rPr>
              <w:t>6</w:t>
            </w:r>
            <w:r w:rsidR="009019E7">
              <w:rPr>
                <w:noProof/>
                <w:webHidden/>
              </w:rPr>
              <w:fldChar w:fldCharType="end"/>
            </w:r>
          </w:hyperlink>
        </w:p>
        <w:p w:rsidR="009019E7" w:rsidRDefault="003705DE">
          <w:pPr>
            <w:pStyle w:val="TOC1"/>
            <w:tabs>
              <w:tab w:val="left" w:pos="660"/>
              <w:tab w:val="right" w:leader="dot" w:pos="9062"/>
            </w:tabs>
            <w:rPr>
              <w:rFonts w:eastAsiaTheme="minorEastAsia"/>
              <w:noProof/>
              <w:lang w:eastAsia="is-IS"/>
            </w:rPr>
          </w:pPr>
          <w:hyperlink w:anchor="_Toc395790996" w:history="1">
            <w:r w:rsidR="009019E7" w:rsidRPr="00D96227">
              <w:rPr>
                <w:rStyle w:val="Hyperlink"/>
                <w:rFonts w:eastAsia="Calibri" w:cs="Arial"/>
                <w:noProof/>
              </w:rPr>
              <w:t>12.</w:t>
            </w:r>
            <w:r w:rsidR="009019E7">
              <w:rPr>
                <w:rFonts w:eastAsiaTheme="minorEastAsia"/>
                <w:noProof/>
                <w:lang w:eastAsia="is-IS"/>
              </w:rPr>
              <w:tab/>
            </w:r>
            <w:r w:rsidR="009019E7" w:rsidRPr="00D96227">
              <w:rPr>
                <w:rStyle w:val="Hyperlink"/>
                <w:rFonts w:eastAsia="Calibri" w:cs="Arial"/>
                <w:noProof/>
              </w:rPr>
              <w:t>Fylgiskjal I: launatafla</w:t>
            </w:r>
            <w:r w:rsidR="009019E7">
              <w:rPr>
                <w:noProof/>
                <w:webHidden/>
              </w:rPr>
              <w:tab/>
            </w:r>
            <w:r w:rsidR="009019E7">
              <w:rPr>
                <w:noProof/>
                <w:webHidden/>
              </w:rPr>
              <w:fldChar w:fldCharType="begin"/>
            </w:r>
            <w:r w:rsidR="009019E7">
              <w:rPr>
                <w:noProof/>
                <w:webHidden/>
              </w:rPr>
              <w:instrText xml:space="preserve"> PAGEREF _Toc395790996 \h </w:instrText>
            </w:r>
            <w:r w:rsidR="009019E7">
              <w:rPr>
                <w:noProof/>
                <w:webHidden/>
              </w:rPr>
            </w:r>
            <w:r w:rsidR="009019E7">
              <w:rPr>
                <w:noProof/>
                <w:webHidden/>
              </w:rPr>
              <w:fldChar w:fldCharType="separate"/>
            </w:r>
            <w:r w:rsidR="00AF0350">
              <w:rPr>
                <w:noProof/>
                <w:webHidden/>
              </w:rPr>
              <w:t>8</w:t>
            </w:r>
            <w:r w:rsidR="009019E7">
              <w:rPr>
                <w:noProof/>
                <w:webHidden/>
              </w:rPr>
              <w:fldChar w:fldCharType="end"/>
            </w:r>
          </w:hyperlink>
        </w:p>
        <w:p w:rsidR="009019E7" w:rsidRDefault="003705DE">
          <w:pPr>
            <w:pStyle w:val="TOC1"/>
            <w:tabs>
              <w:tab w:val="left" w:pos="660"/>
              <w:tab w:val="right" w:leader="dot" w:pos="9062"/>
            </w:tabs>
            <w:rPr>
              <w:rFonts w:eastAsiaTheme="minorEastAsia"/>
              <w:noProof/>
              <w:lang w:eastAsia="is-IS"/>
            </w:rPr>
          </w:pPr>
          <w:hyperlink w:anchor="_Toc395790997" w:history="1">
            <w:r w:rsidR="009019E7" w:rsidRPr="00D96227">
              <w:rPr>
                <w:rStyle w:val="Hyperlink"/>
                <w:noProof/>
              </w:rPr>
              <w:t>13.</w:t>
            </w:r>
            <w:r w:rsidR="009019E7">
              <w:rPr>
                <w:rFonts w:eastAsiaTheme="minorEastAsia"/>
                <w:noProof/>
                <w:lang w:eastAsia="is-IS"/>
              </w:rPr>
              <w:tab/>
            </w:r>
            <w:r w:rsidR="009019E7" w:rsidRPr="00D96227">
              <w:rPr>
                <w:rStyle w:val="Hyperlink"/>
                <w:noProof/>
              </w:rPr>
              <w:t>Fylgiskjal II:  Tengitafla VIÐ STARFSMAT</w:t>
            </w:r>
            <w:r w:rsidR="009019E7">
              <w:rPr>
                <w:noProof/>
                <w:webHidden/>
              </w:rPr>
              <w:tab/>
            </w:r>
            <w:r w:rsidR="009019E7">
              <w:rPr>
                <w:noProof/>
                <w:webHidden/>
              </w:rPr>
              <w:fldChar w:fldCharType="begin"/>
            </w:r>
            <w:r w:rsidR="009019E7">
              <w:rPr>
                <w:noProof/>
                <w:webHidden/>
              </w:rPr>
              <w:instrText xml:space="preserve"> PAGEREF _Toc395790997 \h </w:instrText>
            </w:r>
            <w:r w:rsidR="009019E7">
              <w:rPr>
                <w:noProof/>
                <w:webHidden/>
              </w:rPr>
            </w:r>
            <w:r w:rsidR="009019E7">
              <w:rPr>
                <w:noProof/>
                <w:webHidden/>
              </w:rPr>
              <w:fldChar w:fldCharType="separate"/>
            </w:r>
            <w:r w:rsidR="00AF0350">
              <w:rPr>
                <w:noProof/>
                <w:webHidden/>
              </w:rPr>
              <w:t>10</w:t>
            </w:r>
            <w:r w:rsidR="009019E7">
              <w:rPr>
                <w:noProof/>
                <w:webHidden/>
              </w:rPr>
              <w:fldChar w:fldCharType="end"/>
            </w:r>
          </w:hyperlink>
        </w:p>
        <w:p w:rsidR="009019E7" w:rsidRDefault="003705DE">
          <w:pPr>
            <w:pStyle w:val="TOC1"/>
            <w:tabs>
              <w:tab w:val="left" w:pos="660"/>
              <w:tab w:val="right" w:leader="dot" w:pos="9062"/>
            </w:tabs>
            <w:rPr>
              <w:rFonts w:eastAsiaTheme="minorEastAsia"/>
              <w:noProof/>
              <w:lang w:eastAsia="is-IS"/>
            </w:rPr>
          </w:pPr>
          <w:hyperlink w:anchor="_Toc395790998" w:history="1">
            <w:r w:rsidR="009019E7" w:rsidRPr="00D96227">
              <w:rPr>
                <w:rStyle w:val="Hyperlink"/>
                <w:rFonts w:eastAsia="Calibri"/>
                <w:noProof/>
              </w:rPr>
              <w:t>15.</w:t>
            </w:r>
            <w:r w:rsidR="009019E7">
              <w:rPr>
                <w:rFonts w:eastAsiaTheme="minorEastAsia"/>
                <w:noProof/>
                <w:lang w:eastAsia="is-IS"/>
              </w:rPr>
              <w:tab/>
            </w:r>
            <w:r w:rsidR="009019E7" w:rsidRPr="00D96227">
              <w:rPr>
                <w:rStyle w:val="Hyperlink"/>
                <w:rFonts w:eastAsia="Calibri"/>
                <w:noProof/>
              </w:rPr>
              <w:t>Fylgiskjal IV: Viðræðuáætlun</w:t>
            </w:r>
            <w:r w:rsidR="009019E7">
              <w:rPr>
                <w:noProof/>
                <w:webHidden/>
              </w:rPr>
              <w:tab/>
            </w:r>
            <w:r w:rsidR="009019E7">
              <w:rPr>
                <w:noProof/>
                <w:webHidden/>
              </w:rPr>
              <w:fldChar w:fldCharType="begin"/>
            </w:r>
            <w:r w:rsidR="009019E7">
              <w:rPr>
                <w:noProof/>
                <w:webHidden/>
              </w:rPr>
              <w:instrText xml:space="preserve"> PAGEREF _Toc395790998 \h </w:instrText>
            </w:r>
            <w:r w:rsidR="009019E7">
              <w:rPr>
                <w:noProof/>
                <w:webHidden/>
              </w:rPr>
            </w:r>
            <w:r w:rsidR="009019E7">
              <w:rPr>
                <w:noProof/>
                <w:webHidden/>
              </w:rPr>
              <w:fldChar w:fldCharType="separate"/>
            </w:r>
            <w:r w:rsidR="00AF0350">
              <w:rPr>
                <w:noProof/>
                <w:webHidden/>
              </w:rPr>
              <w:t>12</w:t>
            </w:r>
            <w:r w:rsidR="009019E7">
              <w:rPr>
                <w:noProof/>
                <w:webHidden/>
              </w:rPr>
              <w:fldChar w:fldCharType="end"/>
            </w:r>
          </w:hyperlink>
        </w:p>
        <w:p w:rsidR="00BA3212" w:rsidRDefault="00BA3212">
          <w:r>
            <w:rPr>
              <w:b/>
              <w:bCs/>
              <w:noProof/>
            </w:rPr>
            <w:fldChar w:fldCharType="end"/>
          </w:r>
        </w:p>
      </w:sdtContent>
    </w:sdt>
    <w:p w:rsidR="00533036" w:rsidRDefault="00533036" w:rsidP="00533036">
      <w:pPr>
        <w:tabs>
          <w:tab w:val="left" w:pos="2022"/>
        </w:tabs>
        <w:jc w:val="both"/>
        <w:rPr>
          <w:rFonts w:ascii="Arial" w:hAnsi="Arial" w:cs="Arial"/>
          <w:b/>
        </w:rPr>
      </w:pPr>
    </w:p>
    <w:p w:rsidR="00533036" w:rsidRDefault="00533036" w:rsidP="00533036">
      <w:pPr>
        <w:tabs>
          <w:tab w:val="left" w:pos="2022"/>
        </w:tabs>
        <w:jc w:val="both"/>
        <w:rPr>
          <w:rFonts w:ascii="Arial" w:hAnsi="Arial" w:cs="Arial"/>
          <w:b/>
        </w:rPr>
      </w:pPr>
    </w:p>
    <w:p w:rsidR="00533036" w:rsidRDefault="00533036" w:rsidP="00533036">
      <w:pPr>
        <w:tabs>
          <w:tab w:val="left" w:pos="2022"/>
        </w:tabs>
        <w:jc w:val="both"/>
        <w:rPr>
          <w:rFonts w:ascii="Arial" w:hAnsi="Arial" w:cs="Arial"/>
          <w:b/>
        </w:rPr>
      </w:pPr>
    </w:p>
    <w:p w:rsidR="00533036" w:rsidRDefault="00533036" w:rsidP="00533036">
      <w:pPr>
        <w:tabs>
          <w:tab w:val="left" w:pos="2022"/>
        </w:tabs>
        <w:jc w:val="both"/>
        <w:rPr>
          <w:rFonts w:ascii="Arial" w:hAnsi="Arial" w:cs="Arial"/>
          <w:b/>
        </w:rPr>
      </w:pPr>
    </w:p>
    <w:p w:rsidR="00533036" w:rsidRDefault="00533036" w:rsidP="00533036">
      <w:pPr>
        <w:tabs>
          <w:tab w:val="left" w:pos="2022"/>
        </w:tabs>
        <w:jc w:val="both"/>
        <w:rPr>
          <w:rFonts w:ascii="Arial" w:hAnsi="Arial" w:cs="Arial"/>
          <w:b/>
        </w:rPr>
      </w:pPr>
    </w:p>
    <w:p w:rsidR="009542D1" w:rsidRDefault="009542D1">
      <w:pPr>
        <w:rPr>
          <w:rFonts w:ascii="Arial" w:hAnsi="Arial" w:cs="Arial"/>
          <w:b/>
        </w:rPr>
      </w:pPr>
      <w:r>
        <w:rPr>
          <w:rFonts w:ascii="Arial" w:hAnsi="Arial" w:cs="Arial"/>
          <w:b/>
        </w:rPr>
        <w:br w:type="page"/>
      </w:r>
    </w:p>
    <w:p w:rsidR="00533036" w:rsidRPr="00B35E12" w:rsidRDefault="00533036" w:rsidP="00C34538">
      <w:pPr>
        <w:jc w:val="both"/>
        <w:rPr>
          <w:rFonts w:ascii="Arial" w:hAnsi="Arial" w:cs="Arial"/>
          <w:b/>
        </w:rPr>
      </w:pPr>
    </w:p>
    <w:p w:rsidR="007D6713" w:rsidRPr="000D44C0" w:rsidRDefault="00725E33" w:rsidP="00492C81">
      <w:pPr>
        <w:autoSpaceDE w:val="0"/>
        <w:autoSpaceDN w:val="0"/>
        <w:adjustRightInd w:val="0"/>
        <w:spacing w:after="0" w:line="240" w:lineRule="auto"/>
        <w:jc w:val="center"/>
        <w:rPr>
          <w:rFonts w:ascii="Arial" w:hAnsi="Arial" w:cs="Arial"/>
          <w:b/>
          <w:color w:val="1F497D" w:themeColor="text2"/>
        </w:rPr>
      </w:pPr>
      <w:r w:rsidRPr="00533036">
        <w:rPr>
          <w:rFonts w:ascii="Arial" w:hAnsi="Arial" w:cs="Arial"/>
          <w:b/>
          <w:color w:val="1F497D" w:themeColor="text2"/>
          <w:sz w:val="28"/>
          <w:szCs w:val="28"/>
        </w:rPr>
        <w:t>Samband íslenskra sveitarfélaga og</w:t>
      </w:r>
      <w:r w:rsidR="00824E1C">
        <w:rPr>
          <w:rFonts w:ascii="Arial" w:hAnsi="Arial" w:cs="Arial"/>
          <w:b/>
          <w:color w:val="1F497D" w:themeColor="text2"/>
          <w:sz w:val="28"/>
          <w:szCs w:val="28"/>
        </w:rPr>
        <w:t xml:space="preserve"> </w:t>
      </w:r>
      <w:r w:rsidR="003E42C5">
        <w:rPr>
          <w:rFonts w:ascii="Arial" w:hAnsi="Arial" w:cs="Arial"/>
          <w:b/>
          <w:color w:val="1F497D" w:themeColor="text2"/>
          <w:sz w:val="28"/>
          <w:szCs w:val="28"/>
        </w:rPr>
        <w:t>MATVÍS</w:t>
      </w:r>
    </w:p>
    <w:p w:rsidR="007D6713" w:rsidRPr="00533036" w:rsidRDefault="00725E33" w:rsidP="00725E33">
      <w:pPr>
        <w:pStyle w:val="ListParagraph"/>
        <w:ind w:left="360"/>
        <w:jc w:val="center"/>
        <w:rPr>
          <w:rFonts w:ascii="Arial" w:hAnsi="Arial" w:cs="Arial"/>
          <w:b/>
          <w:color w:val="1F497D" w:themeColor="text2"/>
        </w:rPr>
      </w:pPr>
      <w:r w:rsidRPr="00533036">
        <w:rPr>
          <w:rFonts w:ascii="Arial" w:hAnsi="Arial" w:cs="Arial"/>
          <w:b/>
          <w:color w:val="1F497D" w:themeColor="text2"/>
        </w:rPr>
        <w:t xml:space="preserve">gera með sér svofellt samkomulag um breytingar og </w:t>
      </w:r>
    </w:p>
    <w:p w:rsidR="00725E33" w:rsidRPr="00533036" w:rsidRDefault="00725E33" w:rsidP="00725E33">
      <w:pPr>
        <w:pStyle w:val="ListParagraph"/>
        <w:ind w:left="360"/>
        <w:jc w:val="center"/>
        <w:rPr>
          <w:rFonts w:ascii="Arial" w:hAnsi="Arial" w:cs="Arial"/>
          <w:b/>
          <w:color w:val="1F497D" w:themeColor="text2"/>
        </w:rPr>
      </w:pPr>
      <w:r w:rsidRPr="00533036">
        <w:rPr>
          <w:rFonts w:ascii="Arial" w:hAnsi="Arial" w:cs="Arial"/>
          <w:b/>
          <w:color w:val="1F497D" w:themeColor="text2"/>
        </w:rPr>
        <w:t>framlengingu á kjarasamningi aðila</w:t>
      </w:r>
    </w:p>
    <w:p w:rsidR="00725E33" w:rsidRPr="00725E33" w:rsidRDefault="00725E33" w:rsidP="00725E33">
      <w:pPr>
        <w:pStyle w:val="ListParagraph"/>
        <w:ind w:left="360"/>
        <w:jc w:val="center"/>
        <w:rPr>
          <w:rFonts w:ascii="Arial" w:hAnsi="Arial" w:cs="Arial"/>
          <w:b/>
          <w:color w:val="1F497D" w:themeColor="text2"/>
        </w:rPr>
      </w:pPr>
    </w:p>
    <w:p w:rsidR="00DB52C9" w:rsidRDefault="006F05B2" w:rsidP="00E0538E">
      <w:pPr>
        <w:pStyle w:val="Heading1"/>
        <w:rPr>
          <w:rFonts w:eastAsia="Calibri"/>
        </w:rPr>
      </w:pPr>
      <w:bookmarkStart w:id="1" w:name="_Toc395790985"/>
      <w:r w:rsidRPr="00E0538E">
        <w:t>Inngangur</w:t>
      </w:r>
      <w:bookmarkEnd w:id="1"/>
    </w:p>
    <w:p w:rsidR="0010511F" w:rsidRDefault="00F9799C" w:rsidP="00F9799C">
      <w:pPr>
        <w:ind w:left="709"/>
        <w:jc w:val="both"/>
        <w:rPr>
          <w:rFonts w:ascii="Arial" w:hAnsi="Arial" w:cs="Arial"/>
        </w:rPr>
      </w:pPr>
      <w:r w:rsidRPr="00F9799C">
        <w:rPr>
          <w:rFonts w:ascii="Arial" w:hAnsi="Arial" w:cs="Arial"/>
        </w:rPr>
        <w:t>Aðilar eru sammála um að vinna áfram með öðrum aðilum vinnumarkaðarins að sameiginlegum markmiðum, svo sem bættum vinnubrögðum við samningagerð meðal annars til að skapa samfellu</w:t>
      </w:r>
      <w:r w:rsidR="00593D43">
        <w:rPr>
          <w:rFonts w:ascii="Arial" w:hAnsi="Arial" w:cs="Arial"/>
        </w:rPr>
        <w:t xml:space="preserve">, </w:t>
      </w:r>
      <w:r w:rsidRPr="00F9799C">
        <w:rPr>
          <w:rFonts w:ascii="Arial" w:hAnsi="Arial" w:cs="Arial"/>
        </w:rPr>
        <w:t>einfalda og samræma kjarasamninga</w:t>
      </w:r>
      <w:r w:rsidR="00593D43">
        <w:rPr>
          <w:rFonts w:ascii="Arial" w:hAnsi="Arial" w:cs="Arial"/>
        </w:rPr>
        <w:t>,</w:t>
      </w:r>
      <w:r w:rsidRPr="00F9799C">
        <w:rPr>
          <w:rFonts w:ascii="Arial" w:hAnsi="Arial" w:cs="Arial"/>
        </w:rPr>
        <w:t xml:space="preserve"> auk þess sem lögð verði áhersla á að nýr kjarasamningur taki við af eldri samningi.</w:t>
      </w:r>
    </w:p>
    <w:p w:rsidR="004B44F8" w:rsidRPr="00500AB3" w:rsidRDefault="004B44F8" w:rsidP="004B44F8">
      <w:pPr>
        <w:ind w:left="709"/>
        <w:jc w:val="both"/>
        <w:rPr>
          <w:rFonts w:ascii="Arial" w:hAnsi="Arial" w:cs="Arial"/>
        </w:rPr>
      </w:pPr>
      <w:r>
        <w:rPr>
          <w:rFonts w:ascii="Arial" w:hAnsi="Arial" w:cs="Arial"/>
        </w:rPr>
        <w:t>Í samkomulaginu felast almennar launahækkanir</w:t>
      </w:r>
      <w:r w:rsidR="00AF2C16">
        <w:rPr>
          <w:rFonts w:ascii="Arial" w:hAnsi="Arial" w:cs="Arial"/>
        </w:rPr>
        <w:t xml:space="preserve"> auk aðgerða </w:t>
      </w:r>
      <w:r w:rsidR="00593D43">
        <w:rPr>
          <w:rFonts w:ascii="Arial" w:hAnsi="Arial" w:cs="Arial"/>
        </w:rPr>
        <w:t xml:space="preserve">sem </w:t>
      </w:r>
      <w:r w:rsidR="00AF2C16">
        <w:rPr>
          <w:rFonts w:ascii="Arial" w:hAnsi="Arial" w:cs="Arial"/>
        </w:rPr>
        <w:t xml:space="preserve">koma til móts við </w:t>
      </w:r>
      <w:r w:rsidR="00AF2C16" w:rsidRPr="00500AB3">
        <w:rPr>
          <w:rFonts w:ascii="Arial" w:hAnsi="Arial" w:cs="Arial"/>
        </w:rPr>
        <w:t xml:space="preserve">framkvæmd svokallaðs </w:t>
      </w:r>
      <w:r w:rsidRPr="00500AB3">
        <w:rPr>
          <w:rFonts w:ascii="Arial" w:hAnsi="Arial" w:cs="Arial"/>
        </w:rPr>
        <w:t>jafnlaunaátak</w:t>
      </w:r>
      <w:r w:rsidR="00AF2C16" w:rsidRPr="00500AB3">
        <w:rPr>
          <w:rFonts w:ascii="Arial" w:hAnsi="Arial" w:cs="Arial"/>
        </w:rPr>
        <w:t>s</w:t>
      </w:r>
      <w:r w:rsidRPr="00500AB3">
        <w:rPr>
          <w:rFonts w:ascii="Arial" w:hAnsi="Arial" w:cs="Arial"/>
        </w:rPr>
        <w:t>/raunfærnimat</w:t>
      </w:r>
      <w:r w:rsidR="00AF2C16" w:rsidRPr="00500AB3">
        <w:rPr>
          <w:rFonts w:ascii="Arial" w:hAnsi="Arial" w:cs="Arial"/>
        </w:rPr>
        <w:t>s</w:t>
      </w:r>
      <w:r w:rsidRPr="00500AB3">
        <w:rPr>
          <w:rFonts w:ascii="Arial" w:hAnsi="Arial" w:cs="Arial"/>
        </w:rPr>
        <w:t xml:space="preserve"> ríkisins. </w:t>
      </w:r>
    </w:p>
    <w:p w:rsidR="00CF1581" w:rsidRPr="00B35E12" w:rsidRDefault="00CF1581" w:rsidP="00E0538E">
      <w:pPr>
        <w:pStyle w:val="Heading1"/>
        <w:rPr>
          <w:rFonts w:eastAsia="Calibri" w:cs="Arial"/>
          <w:b w:val="0"/>
          <w:szCs w:val="28"/>
        </w:rPr>
      </w:pPr>
      <w:bookmarkStart w:id="2" w:name="_Toc395790986"/>
      <w:r w:rsidRPr="00E0538E">
        <w:rPr>
          <w:rFonts w:eastAsia="Calibri"/>
        </w:rPr>
        <w:t>Framlenging</w:t>
      </w:r>
      <w:r w:rsidRPr="00B35E12">
        <w:rPr>
          <w:rFonts w:eastAsia="Calibri" w:cs="Arial"/>
          <w:szCs w:val="28"/>
        </w:rPr>
        <w:t xml:space="preserve"> gildandi kjarasamninga</w:t>
      </w:r>
      <w:bookmarkEnd w:id="2"/>
      <w:r w:rsidRPr="00B35E12">
        <w:rPr>
          <w:rFonts w:eastAsia="Calibri" w:cs="Arial"/>
          <w:szCs w:val="28"/>
        </w:rPr>
        <w:t xml:space="preserve"> </w:t>
      </w:r>
    </w:p>
    <w:p w:rsidR="00057355" w:rsidRDefault="000907CE" w:rsidP="00C34538">
      <w:pPr>
        <w:ind w:left="708"/>
        <w:jc w:val="both"/>
        <w:rPr>
          <w:rFonts w:ascii="Arial" w:eastAsia="Calibri" w:hAnsi="Arial" w:cs="Arial"/>
        </w:rPr>
      </w:pPr>
      <w:r>
        <w:rPr>
          <w:rFonts w:ascii="Arial" w:eastAsia="Calibri" w:hAnsi="Arial" w:cs="Arial"/>
        </w:rPr>
        <w:t>Kjarasamningur aðila framlengi</w:t>
      </w:r>
      <w:r w:rsidR="00CF1581" w:rsidRPr="00D52B7F">
        <w:rPr>
          <w:rFonts w:ascii="Arial" w:eastAsia="Calibri" w:hAnsi="Arial" w:cs="Arial"/>
        </w:rPr>
        <w:t>st</w:t>
      </w:r>
      <w:r w:rsidR="00B36AA5" w:rsidRPr="00D52B7F">
        <w:rPr>
          <w:rFonts w:ascii="Arial" w:eastAsia="Calibri" w:hAnsi="Arial" w:cs="Arial"/>
        </w:rPr>
        <w:t xml:space="preserve"> </w:t>
      </w:r>
      <w:r w:rsidR="00B36AA5" w:rsidRPr="006A2F3E">
        <w:rPr>
          <w:rFonts w:ascii="Arial" w:eastAsia="Calibri" w:hAnsi="Arial" w:cs="Arial"/>
        </w:rPr>
        <w:t>frá</w:t>
      </w:r>
      <w:r w:rsidR="00496E3C" w:rsidRPr="006A2F3E">
        <w:rPr>
          <w:rFonts w:ascii="Arial" w:eastAsia="Calibri" w:hAnsi="Arial" w:cs="Arial"/>
        </w:rPr>
        <w:t xml:space="preserve"> 1. </w:t>
      </w:r>
      <w:r w:rsidR="00EE657D">
        <w:rPr>
          <w:rFonts w:ascii="Arial" w:eastAsia="Calibri" w:hAnsi="Arial" w:cs="Arial"/>
        </w:rPr>
        <w:t>maí</w:t>
      </w:r>
      <w:r w:rsidR="00357AE4">
        <w:rPr>
          <w:rFonts w:ascii="Arial" w:eastAsia="Calibri" w:hAnsi="Arial" w:cs="Arial"/>
        </w:rPr>
        <w:t xml:space="preserve"> </w:t>
      </w:r>
      <w:r w:rsidR="00496E3C" w:rsidRPr="006A2F3E">
        <w:rPr>
          <w:rFonts w:ascii="Arial" w:eastAsia="Calibri" w:hAnsi="Arial" w:cs="Arial"/>
        </w:rPr>
        <w:t xml:space="preserve">2014 til </w:t>
      </w:r>
      <w:r w:rsidR="00AA5EAF">
        <w:rPr>
          <w:rFonts w:ascii="Arial" w:eastAsia="Calibri" w:hAnsi="Arial" w:cs="Arial"/>
        </w:rPr>
        <w:t xml:space="preserve">30. apríl </w:t>
      </w:r>
      <w:r w:rsidR="00DF6884" w:rsidRPr="006A2F3E">
        <w:rPr>
          <w:rFonts w:ascii="Arial" w:eastAsia="Calibri" w:hAnsi="Arial" w:cs="Arial"/>
        </w:rPr>
        <w:t>2015</w:t>
      </w:r>
      <w:r w:rsidR="006F05B2" w:rsidRPr="00D52B7F">
        <w:rPr>
          <w:rFonts w:ascii="Arial" w:eastAsia="Calibri" w:hAnsi="Arial" w:cs="Arial"/>
        </w:rPr>
        <w:t xml:space="preserve"> með þeim</w:t>
      </w:r>
      <w:r w:rsidR="006F05B2">
        <w:rPr>
          <w:rFonts w:ascii="Arial" w:eastAsia="Calibri" w:hAnsi="Arial" w:cs="Arial"/>
        </w:rPr>
        <w:t xml:space="preserve"> breytingum sem </w:t>
      </w:r>
      <w:r w:rsidR="00057355">
        <w:rPr>
          <w:rFonts w:ascii="Arial" w:eastAsia="Calibri" w:hAnsi="Arial" w:cs="Arial"/>
        </w:rPr>
        <w:t>í samkomulagi þessu felast og f</w:t>
      </w:r>
      <w:r>
        <w:rPr>
          <w:rFonts w:ascii="Arial" w:eastAsia="Calibri" w:hAnsi="Arial" w:cs="Arial"/>
        </w:rPr>
        <w:t>ellur</w:t>
      </w:r>
      <w:r w:rsidR="00057355">
        <w:rPr>
          <w:rFonts w:ascii="Arial" w:eastAsia="Calibri" w:hAnsi="Arial" w:cs="Arial"/>
        </w:rPr>
        <w:t xml:space="preserve"> þá úr gildi án frekari fyrirvara</w:t>
      </w:r>
      <w:r w:rsidR="00DF6884" w:rsidRPr="00A629BB">
        <w:rPr>
          <w:rFonts w:ascii="Arial" w:eastAsia="Calibri" w:hAnsi="Arial" w:cs="Arial"/>
        </w:rPr>
        <w:t>.</w:t>
      </w:r>
      <w:r w:rsidR="00C80707">
        <w:rPr>
          <w:rFonts w:ascii="Arial" w:eastAsia="Calibri" w:hAnsi="Arial" w:cs="Arial"/>
        </w:rPr>
        <w:t xml:space="preserve"> </w:t>
      </w:r>
    </w:p>
    <w:p w:rsidR="00A840EB" w:rsidRPr="00B35E12" w:rsidRDefault="006A0046" w:rsidP="00E0538E">
      <w:pPr>
        <w:pStyle w:val="Heading1"/>
        <w:rPr>
          <w:rFonts w:eastAsia="Calibri" w:cs="Arial"/>
          <w:b w:val="0"/>
          <w:szCs w:val="28"/>
        </w:rPr>
      </w:pPr>
      <w:bookmarkStart w:id="3" w:name="_Toc395790987"/>
      <w:r w:rsidRPr="00E0538E">
        <w:rPr>
          <w:rFonts w:eastAsia="Calibri"/>
        </w:rPr>
        <w:t>Laun</w:t>
      </w:r>
      <w:r w:rsidR="00837753">
        <w:rPr>
          <w:rFonts w:eastAsia="Calibri"/>
        </w:rPr>
        <w:t xml:space="preserve"> </w:t>
      </w:r>
      <w:r w:rsidR="00E33579" w:rsidRPr="00E0538E">
        <w:rPr>
          <w:rFonts w:eastAsia="Calibri"/>
        </w:rPr>
        <w:t>samkvæmt</w:t>
      </w:r>
      <w:r w:rsidR="00E33579">
        <w:rPr>
          <w:rFonts w:eastAsia="Calibri" w:cs="Arial"/>
          <w:szCs w:val="28"/>
        </w:rPr>
        <w:t xml:space="preserve"> gr. 1.1.1.</w:t>
      </w:r>
      <w:bookmarkEnd w:id="3"/>
    </w:p>
    <w:p w:rsidR="00593D43" w:rsidRDefault="003E693B" w:rsidP="003E693B">
      <w:pPr>
        <w:ind w:left="708"/>
        <w:jc w:val="both"/>
        <w:rPr>
          <w:rFonts w:ascii="Arial" w:hAnsi="Arial" w:cs="Arial"/>
        </w:rPr>
      </w:pPr>
      <w:r w:rsidRPr="003E693B">
        <w:rPr>
          <w:rFonts w:ascii="Arial" w:hAnsi="Arial" w:cs="Arial"/>
        </w:rPr>
        <w:t xml:space="preserve">Mánaðarlaun þeirra sem gegna fullu starfi, skulu greidd samkvæmt </w:t>
      </w:r>
      <w:r>
        <w:rPr>
          <w:rFonts w:ascii="Arial" w:hAnsi="Arial" w:cs="Arial"/>
        </w:rPr>
        <w:t>launatöflu</w:t>
      </w:r>
      <w:r w:rsidR="00677244">
        <w:rPr>
          <w:rFonts w:ascii="Arial" w:hAnsi="Arial" w:cs="Arial"/>
        </w:rPr>
        <w:t xml:space="preserve"> og tengitöflu</w:t>
      </w:r>
      <w:r>
        <w:rPr>
          <w:rFonts w:ascii="Arial" w:hAnsi="Arial" w:cs="Arial"/>
        </w:rPr>
        <w:t xml:space="preserve"> í fylgiskjali I</w:t>
      </w:r>
      <w:r w:rsidR="00593D43">
        <w:rPr>
          <w:rFonts w:ascii="Arial" w:hAnsi="Arial" w:cs="Arial"/>
        </w:rPr>
        <w:t xml:space="preserve">. </w:t>
      </w:r>
    </w:p>
    <w:p w:rsidR="00CF2C59" w:rsidRDefault="00593D43" w:rsidP="007D6713">
      <w:pPr>
        <w:spacing w:after="120"/>
        <w:ind w:left="1134"/>
        <w:jc w:val="both"/>
        <w:rPr>
          <w:rFonts w:ascii="Arial" w:hAnsi="Arial" w:cs="Arial"/>
        </w:rPr>
      </w:pPr>
      <w:r>
        <w:rPr>
          <w:rFonts w:ascii="Arial" w:hAnsi="Arial" w:cs="Arial"/>
        </w:rPr>
        <w:t xml:space="preserve">Launatafla: </w:t>
      </w:r>
      <w:r w:rsidR="00C64103">
        <w:rPr>
          <w:rFonts w:ascii="Arial" w:hAnsi="Arial" w:cs="Arial"/>
        </w:rPr>
        <w:t xml:space="preserve"> </w:t>
      </w:r>
      <w:r w:rsidR="00B81947">
        <w:rPr>
          <w:rFonts w:ascii="Arial" w:hAnsi="Arial" w:cs="Arial"/>
        </w:rPr>
        <w:tab/>
      </w:r>
      <w:r>
        <w:rPr>
          <w:rFonts w:ascii="Arial" w:hAnsi="Arial" w:cs="Arial"/>
        </w:rPr>
        <w:t>Gildir</w:t>
      </w:r>
      <w:r w:rsidR="00C64103">
        <w:rPr>
          <w:rFonts w:ascii="Arial" w:hAnsi="Arial" w:cs="Arial"/>
        </w:rPr>
        <w:t xml:space="preserve"> frá 1. </w:t>
      </w:r>
      <w:r w:rsidR="00EE657D">
        <w:rPr>
          <w:rFonts w:ascii="Arial" w:hAnsi="Arial" w:cs="Arial"/>
        </w:rPr>
        <w:t>maí</w:t>
      </w:r>
      <w:r w:rsidR="00C64103">
        <w:rPr>
          <w:rFonts w:ascii="Arial" w:hAnsi="Arial" w:cs="Arial"/>
        </w:rPr>
        <w:t xml:space="preserve"> 2014 </w:t>
      </w:r>
      <w:r>
        <w:rPr>
          <w:rFonts w:ascii="Arial" w:hAnsi="Arial" w:cs="Arial"/>
        </w:rPr>
        <w:t>til</w:t>
      </w:r>
      <w:r w:rsidR="00C64103">
        <w:rPr>
          <w:rFonts w:ascii="Arial" w:hAnsi="Arial" w:cs="Arial"/>
        </w:rPr>
        <w:t xml:space="preserve"> 3</w:t>
      </w:r>
      <w:r w:rsidR="00357AE4">
        <w:rPr>
          <w:rFonts w:ascii="Arial" w:hAnsi="Arial" w:cs="Arial"/>
        </w:rPr>
        <w:t>0. apríl 2015.</w:t>
      </w:r>
    </w:p>
    <w:p w:rsidR="003E693B" w:rsidRDefault="00B81947" w:rsidP="007D6713">
      <w:pPr>
        <w:spacing w:after="120"/>
        <w:ind w:left="1134"/>
        <w:jc w:val="both"/>
        <w:rPr>
          <w:rFonts w:ascii="Arial" w:hAnsi="Arial" w:cs="Arial"/>
        </w:rPr>
      </w:pPr>
      <w:r>
        <w:rPr>
          <w:rFonts w:ascii="Arial" w:hAnsi="Arial" w:cs="Arial"/>
        </w:rPr>
        <w:t>T</w:t>
      </w:r>
      <w:r w:rsidR="00CF2C59">
        <w:rPr>
          <w:rFonts w:ascii="Arial" w:hAnsi="Arial" w:cs="Arial"/>
        </w:rPr>
        <w:t xml:space="preserve">engitafla: </w:t>
      </w:r>
      <w:r>
        <w:rPr>
          <w:rFonts w:ascii="Arial" w:hAnsi="Arial" w:cs="Arial"/>
        </w:rPr>
        <w:tab/>
      </w:r>
      <w:r w:rsidR="00CF2C59">
        <w:rPr>
          <w:rFonts w:ascii="Arial" w:hAnsi="Arial" w:cs="Arial"/>
        </w:rPr>
        <w:t xml:space="preserve">Gildir frá 1. </w:t>
      </w:r>
      <w:r w:rsidR="00EE657D">
        <w:rPr>
          <w:rFonts w:ascii="Arial" w:hAnsi="Arial" w:cs="Arial"/>
        </w:rPr>
        <w:t>maí</w:t>
      </w:r>
      <w:r w:rsidR="00CF2C59">
        <w:rPr>
          <w:rFonts w:ascii="Arial" w:hAnsi="Arial" w:cs="Arial"/>
        </w:rPr>
        <w:t xml:space="preserve"> 2014</w:t>
      </w:r>
      <w:r>
        <w:rPr>
          <w:rFonts w:ascii="Arial" w:hAnsi="Arial" w:cs="Arial"/>
        </w:rPr>
        <w:t xml:space="preserve"> til 30. apríl 2015</w:t>
      </w:r>
      <w:r w:rsidR="00C64103">
        <w:rPr>
          <w:rFonts w:ascii="Arial" w:hAnsi="Arial" w:cs="Arial"/>
        </w:rPr>
        <w:t>.</w:t>
      </w:r>
    </w:p>
    <w:p w:rsidR="006A0046" w:rsidRPr="006A0046" w:rsidRDefault="006A0046" w:rsidP="00E0538E">
      <w:pPr>
        <w:pStyle w:val="Heading1"/>
        <w:rPr>
          <w:rFonts w:eastAsia="Calibri" w:cs="Arial"/>
          <w:b w:val="0"/>
          <w:szCs w:val="28"/>
        </w:rPr>
      </w:pPr>
      <w:bookmarkStart w:id="4" w:name="_Toc395790988"/>
      <w:r w:rsidRPr="00E0538E">
        <w:rPr>
          <w:rFonts w:eastAsia="Calibri"/>
        </w:rPr>
        <w:t>Lágmarkslaun</w:t>
      </w:r>
      <w:bookmarkEnd w:id="4"/>
    </w:p>
    <w:p w:rsidR="00542527" w:rsidRDefault="00F05FDE" w:rsidP="00542527">
      <w:pPr>
        <w:ind w:left="708"/>
        <w:jc w:val="both"/>
        <w:rPr>
          <w:rFonts w:ascii="Arial" w:hAnsi="Arial" w:cs="Arial"/>
        </w:rPr>
      </w:pPr>
      <w:r>
        <w:rPr>
          <w:rFonts w:ascii="Arial" w:hAnsi="Arial" w:cs="Arial"/>
        </w:rPr>
        <w:t>Eftirfarandi breyting verður á fjárhæðum lágmarkslauna samkv. gr. 1.1.1.2:</w:t>
      </w:r>
    </w:p>
    <w:p w:rsidR="00000FBB" w:rsidRDefault="00000FBB" w:rsidP="00FE7A78">
      <w:pPr>
        <w:spacing w:after="0"/>
        <w:ind w:left="708"/>
        <w:jc w:val="both"/>
        <w:rPr>
          <w:rFonts w:ascii="Arial" w:hAnsi="Arial" w:cs="Arial"/>
        </w:rPr>
      </w:pPr>
      <w:r w:rsidRPr="00C64103">
        <w:rPr>
          <w:rFonts w:ascii="Arial" w:hAnsi="Arial" w:cs="Arial"/>
        </w:rPr>
        <w:t xml:space="preserve">Frá 1. maí 2014, </w:t>
      </w:r>
      <w:r w:rsidRPr="0013048B">
        <w:rPr>
          <w:rFonts w:ascii="Arial" w:hAnsi="Arial" w:cs="Arial"/>
        </w:rPr>
        <w:t xml:space="preserve">kr. </w:t>
      </w:r>
      <w:r w:rsidR="00593D43" w:rsidRPr="0013048B">
        <w:rPr>
          <w:rFonts w:ascii="Arial" w:hAnsi="Arial" w:cs="Arial"/>
        </w:rPr>
        <w:t>229.549.</w:t>
      </w:r>
    </w:p>
    <w:p w:rsidR="00F05FDE" w:rsidRDefault="00F05FDE" w:rsidP="00000FBB">
      <w:pPr>
        <w:ind w:left="708"/>
        <w:jc w:val="both"/>
        <w:rPr>
          <w:rFonts w:ascii="Arial" w:hAnsi="Arial" w:cs="Arial"/>
        </w:rPr>
      </w:pPr>
      <w:r>
        <w:rPr>
          <w:rFonts w:ascii="Arial" w:hAnsi="Arial" w:cs="Arial"/>
        </w:rPr>
        <w:t>Að öðru leyti er greinin óbreytt.</w:t>
      </w:r>
    </w:p>
    <w:p w:rsidR="00A0752D" w:rsidRPr="00E52491" w:rsidRDefault="00E31D5E" w:rsidP="00E0538E">
      <w:pPr>
        <w:pStyle w:val="Heading1"/>
        <w:rPr>
          <w:rFonts w:eastAsia="Calibri" w:cs="Arial"/>
          <w:b w:val="0"/>
          <w:strike/>
          <w:szCs w:val="28"/>
        </w:rPr>
      </w:pPr>
      <w:bookmarkStart w:id="5" w:name="_Toc395790989"/>
      <w:r w:rsidRPr="00E0538E">
        <w:rPr>
          <w:rFonts w:eastAsia="Calibri"/>
        </w:rPr>
        <w:t>Persónuuppbót</w:t>
      </w:r>
      <w:r w:rsidRPr="0009431D">
        <w:rPr>
          <w:rFonts w:eastAsia="Calibri" w:cs="Arial"/>
          <w:szCs w:val="28"/>
        </w:rPr>
        <w:t xml:space="preserve"> / </w:t>
      </w:r>
      <w:r w:rsidR="00C739FE" w:rsidRPr="0009431D">
        <w:rPr>
          <w:rFonts w:eastAsia="Calibri" w:cs="Arial"/>
          <w:szCs w:val="28"/>
        </w:rPr>
        <w:t>Desember</w:t>
      </w:r>
      <w:r w:rsidR="00187E5A" w:rsidRPr="0009431D">
        <w:rPr>
          <w:rFonts w:eastAsia="Calibri" w:cs="Arial"/>
          <w:szCs w:val="28"/>
        </w:rPr>
        <w:t>u</w:t>
      </w:r>
      <w:r w:rsidR="00C739FE" w:rsidRPr="0009431D">
        <w:rPr>
          <w:rFonts w:eastAsia="Calibri" w:cs="Arial"/>
          <w:szCs w:val="28"/>
        </w:rPr>
        <w:t>ppbót</w:t>
      </w:r>
      <w:bookmarkEnd w:id="5"/>
      <w:r w:rsidR="00187E5A" w:rsidRPr="0009431D">
        <w:rPr>
          <w:rFonts w:eastAsia="Calibri" w:cs="Arial"/>
          <w:szCs w:val="28"/>
        </w:rPr>
        <w:t xml:space="preserve"> </w:t>
      </w:r>
    </w:p>
    <w:p w:rsidR="00E31D5E" w:rsidRPr="0009431D" w:rsidRDefault="00E31D5E" w:rsidP="00A0752D">
      <w:pPr>
        <w:pStyle w:val="ListParagraph"/>
        <w:spacing w:after="0"/>
        <w:ind w:left="708"/>
        <w:jc w:val="both"/>
        <w:rPr>
          <w:rFonts w:ascii="Arial" w:hAnsi="Arial" w:cs="Arial"/>
        </w:rPr>
      </w:pPr>
      <w:r w:rsidRPr="0009431D">
        <w:rPr>
          <w:rFonts w:ascii="Arial" w:hAnsi="Arial" w:cs="Arial"/>
        </w:rPr>
        <w:t xml:space="preserve">Persónuuppbót / desemberuppbót </w:t>
      </w:r>
      <w:r w:rsidR="00A0752D" w:rsidRPr="0009431D">
        <w:rPr>
          <w:rFonts w:ascii="Arial" w:hAnsi="Arial" w:cs="Arial"/>
        </w:rPr>
        <w:t xml:space="preserve">á samningstímanum </w:t>
      </w:r>
      <w:r w:rsidRPr="0009431D">
        <w:rPr>
          <w:rFonts w:ascii="Arial" w:hAnsi="Arial" w:cs="Arial"/>
        </w:rPr>
        <w:t>verður sem hér segir:</w:t>
      </w:r>
    </w:p>
    <w:p w:rsidR="00187E5A" w:rsidRDefault="00187E5A" w:rsidP="00C34538">
      <w:pPr>
        <w:ind w:left="708"/>
        <w:jc w:val="both"/>
        <w:rPr>
          <w:rFonts w:ascii="Arial" w:hAnsi="Arial" w:cs="Arial"/>
        </w:rPr>
      </w:pPr>
      <w:r w:rsidRPr="004722D3">
        <w:rPr>
          <w:rFonts w:ascii="Arial" w:hAnsi="Arial" w:cs="Arial"/>
        </w:rPr>
        <w:t xml:space="preserve">Á árinu 2014 kr. </w:t>
      </w:r>
      <w:r w:rsidR="004801F7">
        <w:rPr>
          <w:rFonts w:ascii="Arial" w:hAnsi="Arial" w:cs="Arial"/>
        </w:rPr>
        <w:t xml:space="preserve"> 93.500.</w:t>
      </w:r>
    </w:p>
    <w:p w:rsidR="003D5935" w:rsidRDefault="003D5935" w:rsidP="00E0538E">
      <w:pPr>
        <w:pStyle w:val="Heading1"/>
        <w:rPr>
          <w:rFonts w:eastAsia="Calibri" w:cs="Arial"/>
          <w:b w:val="0"/>
          <w:szCs w:val="28"/>
        </w:rPr>
      </w:pPr>
      <w:bookmarkStart w:id="6" w:name="_Toc395790990"/>
      <w:r>
        <w:rPr>
          <w:rFonts w:eastAsia="Calibri" w:cs="Arial"/>
          <w:szCs w:val="28"/>
        </w:rPr>
        <w:t xml:space="preserve">Frídagar </w:t>
      </w:r>
      <w:r w:rsidRPr="00E0538E">
        <w:rPr>
          <w:rFonts w:eastAsia="Calibri"/>
        </w:rPr>
        <w:t>vegna</w:t>
      </w:r>
      <w:r>
        <w:rPr>
          <w:rFonts w:eastAsia="Calibri" w:cs="Arial"/>
          <w:szCs w:val="28"/>
        </w:rPr>
        <w:t xml:space="preserve"> yfirvinnu</w:t>
      </w:r>
      <w:bookmarkEnd w:id="6"/>
    </w:p>
    <w:p w:rsidR="003D5935" w:rsidRPr="00AA5EAF" w:rsidRDefault="003D5935" w:rsidP="003D5935">
      <w:pPr>
        <w:ind w:left="708"/>
        <w:jc w:val="both"/>
        <w:rPr>
          <w:rFonts w:ascii="Arial" w:hAnsi="Arial" w:cs="Arial"/>
          <w:color w:val="17365D" w:themeColor="text2" w:themeShade="BF"/>
        </w:rPr>
      </w:pPr>
      <w:r w:rsidRPr="00AA5EAF">
        <w:rPr>
          <w:rFonts w:ascii="Arial" w:hAnsi="Arial" w:cs="Arial"/>
          <w:color w:val="17365D" w:themeColor="text2" w:themeShade="BF"/>
        </w:rPr>
        <w:t xml:space="preserve">Grein 2.3.10. hljóði svo: </w:t>
      </w:r>
    </w:p>
    <w:p w:rsidR="003D5935" w:rsidRDefault="003D5935" w:rsidP="003D5935">
      <w:pPr>
        <w:ind w:left="708"/>
        <w:jc w:val="both"/>
        <w:rPr>
          <w:rFonts w:ascii="Arial" w:hAnsi="Arial" w:cs="Arial"/>
        </w:rPr>
      </w:pPr>
      <w:r>
        <w:rPr>
          <w:rFonts w:ascii="Arial" w:hAnsi="Arial" w:cs="Arial"/>
        </w:rPr>
        <w:t xml:space="preserve">Heimilt er starfsmanni, með samkomulagi við vinnuveitanda, að safna allt að 10 frídögum á ári vegna yfirvinnu, á þann hátt að yfirvinnutímar komi til uppsöfnunar en yfirvinnuálagið </w:t>
      </w:r>
      <w:r w:rsidR="00471953">
        <w:rPr>
          <w:rFonts w:ascii="Arial" w:hAnsi="Arial" w:cs="Arial"/>
        </w:rPr>
        <w:t>skal</w:t>
      </w:r>
      <w:r>
        <w:rPr>
          <w:rFonts w:ascii="Arial" w:hAnsi="Arial" w:cs="Arial"/>
        </w:rPr>
        <w:t xml:space="preserve"> greitt við næstu reglulegu útborgun.</w:t>
      </w:r>
      <w:r w:rsidR="00471953" w:rsidRPr="00471953">
        <w:rPr>
          <w:rFonts w:ascii="Arial" w:hAnsi="Arial" w:cs="Arial"/>
        </w:rPr>
        <w:t xml:space="preserve"> </w:t>
      </w:r>
    </w:p>
    <w:p w:rsidR="003D5935" w:rsidRDefault="003D5935" w:rsidP="003D5935">
      <w:pPr>
        <w:ind w:left="708"/>
        <w:jc w:val="both"/>
        <w:rPr>
          <w:rFonts w:ascii="Arial" w:hAnsi="Arial" w:cs="Arial"/>
        </w:rPr>
      </w:pPr>
      <w:r>
        <w:rPr>
          <w:rFonts w:ascii="Arial" w:hAnsi="Arial" w:cs="Arial"/>
        </w:rPr>
        <w:t>Frí vegna yfirvinnu frá fyrra ári, sem ekki hefur verið nýtt fyrir 15. apríl ár hvert, skal greitt út sem dagvinnustundir við næstu reglulegu útborgun.</w:t>
      </w:r>
    </w:p>
    <w:p w:rsidR="003D5935" w:rsidRDefault="003D5935" w:rsidP="003D5935">
      <w:pPr>
        <w:pStyle w:val="hersluatrii"/>
        <w:ind w:left="709"/>
        <w:rPr>
          <w:rFonts w:eastAsia="Calibri"/>
        </w:rPr>
      </w:pPr>
      <w:r>
        <w:lastRenderedPageBreak/>
        <w:t>Yfirvinnuálag er 44,44% af yfirvinnutímakaupi starfsmanns. Yfirvinnuálag skal ekki tekið út í fríi, heldur skal það greitt við næstu reglulegu útborgun, þ.e. þegar yfirvinnan ella hefði komið til greiðslu.</w:t>
      </w:r>
    </w:p>
    <w:p w:rsidR="006350EE" w:rsidRPr="00BF40E8" w:rsidRDefault="006350EE" w:rsidP="006350EE">
      <w:pPr>
        <w:pStyle w:val="Heading1"/>
        <w:ind w:left="786"/>
        <w:rPr>
          <w:rFonts w:cs="Arial"/>
        </w:rPr>
      </w:pPr>
      <w:bookmarkStart w:id="7" w:name="_Toc392173025"/>
      <w:bookmarkStart w:id="8" w:name="_Toc395790991"/>
      <w:r w:rsidRPr="00BF40E8">
        <w:rPr>
          <w:rFonts w:eastAsia="Calibri"/>
        </w:rPr>
        <w:t>Grein 2.6.7 um uppgjörsmáta á vinnu á sérstökum frídögum og stórhátíðum</w:t>
      </w:r>
      <w:bookmarkEnd w:id="7"/>
      <w:bookmarkEnd w:id="8"/>
      <w:r>
        <w:rPr>
          <w:rFonts w:eastAsia="Calibri"/>
        </w:rPr>
        <w:t xml:space="preserve"> </w:t>
      </w:r>
    </w:p>
    <w:p w:rsidR="006350EE" w:rsidRPr="00BF40E8" w:rsidRDefault="006350EE" w:rsidP="006350EE">
      <w:pPr>
        <w:ind w:left="708"/>
        <w:jc w:val="both"/>
        <w:rPr>
          <w:rFonts w:ascii="Arial" w:hAnsi="Arial" w:cs="Arial"/>
          <w:color w:val="17365D" w:themeColor="text2" w:themeShade="BF"/>
        </w:rPr>
      </w:pPr>
      <w:r w:rsidRPr="00BF40E8">
        <w:rPr>
          <w:rFonts w:ascii="Arial" w:hAnsi="Arial" w:cs="Arial"/>
          <w:color w:val="17365D" w:themeColor="text2" w:themeShade="BF"/>
        </w:rPr>
        <w:t xml:space="preserve">Grein 2.6.7 hljóði svo: </w:t>
      </w:r>
    </w:p>
    <w:p w:rsidR="006350EE" w:rsidRDefault="006350EE" w:rsidP="006350EE">
      <w:pPr>
        <w:ind w:left="708"/>
        <w:jc w:val="both"/>
        <w:rPr>
          <w:rFonts w:ascii="Arial" w:hAnsi="Arial" w:cs="Arial"/>
        </w:rPr>
      </w:pPr>
      <w:r w:rsidRPr="00754816">
        <w:rPr>
          <w:rFonts w:ascii="Arial" w:hAnsi="Arial" w:cs="Arial"/>
        </w:rPr>
        <w:t xml:space="preserve">Starfsmaður sem vinnur á reglubundnum vöktum alla daga ársins, getur í stað greiðslna skv. gr. 2.3.2 fengið frí á óskertum föstum launum í 88 vinnuskyldustundir á ári miðað við fullt starf í heilt ár, eða   hlutfallslega ef þjónusta fer ekki fram alla sérstaka frídaga </w:t>
      </w:r>
    </w:p>
    <w:p w:rsidR="006350EE" w:rsidRPr="00031774" w:rsidRDefault="006350EE" w:rsidP="006350EE">
      <w:pPr>
        <w:ind w:left="708"/>
        <w:jc w:val="both"/>
        <w:rPr>
          <w:rFonts w:ascii="Arial" w:hAnsi="Arial" w:cs="Arial"/>
        </w:rPr>
      </w:pPr>
      <w:r w:rsidRPr="00754816">
        <w:rPr>
          <w:rFonts w:ascii="Arial" w:hAnsi="Arial" w:cs="Arial"/>
        </w:rPr>
        <w:t xml:space="preserve">og stórhátíðar daga. Vinnu sem fellur á sérstaka frídaga og stórhátíðardaga sbr. framanritað, skal auk þess launa með álagi skv. gr. 1.6.1, sé þessi kostur valinn. Ávinnsla leyfisins miðast við almanaksárið. Starfsmaður sem óskar eftir að breyta vali sínu á milli leyfis og greiðslu, skal tilkynna það skriflega til viðkomandi stofnunar fyrir 1. desember næst á undan. </w:t>
      </w:r>
    </w:p>
    <w:p w:rsidR="0069566E" w:rsidRPr="0069566E" w:rsidRDefault="0069566E" w:rsidP="00E0538E">
      <w:pPr>
        <w:pStyle w:val="Heading1"/>
        <w:rPr>
          <w:rFonts w:eastAsia="Calibri"/>
        </w:rPr>
      </w:pPr>
      <w:bookmarkStart w:id="9" w:name="_Toc395790992"/>
      <w:r w:rsidRPr="0069566E">
        <w:rPr>
          <w:rFonts w:eastAsia="Calibri"/>
        </w:rPr>
        <w:t>Grein 10.2.2 um persónuálag vegna símenntunar</w:t>
      </w:r>
    </w:p>
    <w:p w:rsidR="0069566E" w:rsidRPr="0069566E" w:rsidRDefault="0069566E" w:rsidP="0069566E">
      <w:pPr>
        <w:ind w:left="708"/>
        <w:jc w:val="both"/>
        <w:rPr>
          <w:rFonts w:ascii="Arial" w:hAnsi="Arial" w:cs="Arial"/>
          <w:color w:val="17365D" w:themeColor="text2" w:themeShade="BF"/>
        </w:rPr>
      </w:pPr>
      <w:r w:rsidRPr="0069566E">
        <w:rPr>
          <w:rFonts w:ascii="Arial" w:hAnsi="Arial" w:cs="Arial"/>
          <w:color w:val="17365D" w:themeColor="text2" w:themeShade="BF"/>
        </w:rPr>
        <w:t xml:space="preserve">Grein </w:t>
      </w:r>
      <w:r>
        <w:rPr>
          <w:rFonts w:ascii="Arial" w:hAnsi="Arial" w:cs="Arial"/>
          <w:color w:val="17365D" w:themeColor="text2" w:themeShade="BF"/>
        </w:rPr>
        <w:t>10.2.2</w:t>
      </w:r>
      <w:r w:rsidRPr="0069566E">
        <w:rPr>
          <w:rFonts w:ascii="Arial" w:hAnsi="Arial" w:cs="Arial"/>
          <w:color w:val="17365D" w:themeColor="text2" w:themeShade="BF"/>
        </w:rPr>
        <w:t xml:space="preserve"> hljóði svo: </w:t>
      </w:r>
    </w:p>
    <w:p w:rsidR="0069566E" w:rsidRPr="008F6E1B" w:rsidRDefault="0069566E" w:rsidP="0069566E">
      <w:pPr>
        <w:pStyle w:val="Normal2"/>
      </w:pPr>
      <w:r w:rsidRPr="008F6E1B">
        <w:t>Með vísan til greinar 10.2.1</w:t>
      </w:r>
      <w:r>
        <w:t>.1</w:t>
      </w:r>
      <w:r w:rsidRPr="008F6E1B">
        <w:t xml:space="preserve"> skulu starfsmenn fá persónuálag vegna árlegrar þátttöku í símenntunaráætlun sem hér segir:</w:t>
      </w:r>
    </w:p>
    <w:p w:rsidR="0069566E" w:rsidRPr="008C26A5" w:rsidRDefault="0069566E" w:rsidP="0069566E">
      <w:pPr>
        <w:pStyle w:val="Normal2"/>
        <w:numPr>
          <w:ilvl w:val="0"/>
          <w:numId w:val="33"/>
        </w:numPr>
        <w:ind w:left="1661" w:hanging="357"/>
      </w:pPr>
      <w:r w:rsidRPr="008C26A5">
        <w:t>1 stig (2%) eftir 1 árs starf hjá sveitarfélögum og/eða öðrum sambærilegum störfum.</w:t>
      </w:r>
    </w:p>
    <w:p w:rsidR="0069566E" w:rsidRPr="008C26A5" w:rsidRDefault="0069566E" w:rsidP="0069566E">
      <w:pPr>
        <w:pStyle w:val="Normal2"/>
        <w:numPr>
          <w:ilvl w:val="0"/>
          <w:numId w:val="33"/>
        </w:numPr>
        <w:ind w:left="1661" w:hanging="357"/>
      </w:pPr>
      <w:r w:rsidRPr="008C26A5">
        <w:t>Samtals 2 stig (4%) eftir 5 ára starf hjá sveitarfélögum og/eða öðrum sambærilegum störfum.</w:t>
      </w:r>
    </w:p>
    <w:p w:rsidR="0069566E" w:rsidRPr="008C26A5" w:rsidRDefault="0069566E" w:rsidP="0069566E">
      <w:pPr>
        <w:pStyle w:val="Normal2"/>
        <w:numPr>
          <w:ilvl w:val="0"/>
          <w:numId w:val="33"/>
        </w:numPr>
        <w:ind w:left="1661" w:hanging="357"/>
      </w:pPr>
      <w:r w:rsidRPr="008C26A5">
        <w:t>Samtals 3 stig (6%)  eftir 9 ára starf hjá sveitarfélögum og/eða öðrum sambærilegum störfum.</w:t>
      </w:r>
    </w:p>
    <w:p w:rsidR="0069566E" w:rsidRPr="008C26A5" w:rsidRDefault="0069566E" w:rsidP="0069566E">
      <w:pPr>
        <w:pStyle w:val="Normal2"/>
        <w:numPr>
          <w:ilvl w:val="0"/>
          <w:numId w:val="33"/>
        </w:numPr>
        <w:ind w:left="1661" w:hanging="357"/>
      </w:pPr>
      <w:r w:rsidRPr="008C26A5">
        <w:t>Samtals 4 stig (8%)  eftir 15 ára starf hjá sveitarfélögum og/eða í öðrum sambærilegum störfum.</w:t>
      </w:r>
    </w:p>
    <w:p w:rsidR="0069566E" w:rsidRDefault="0069566E" w:rsidP="0069566E">
      <w:pPr>
        <w:pStyle w:val="hersluatrii"/>
      </w:pPr>
      <w:r>
        <w:t>Við mat á starfstíma hjá öðrum vinnuveitanda</w:t>
      </w:r>
      <w:r w:rsidRPr="00792C8E">
        <w:t xml:space="preserve"> til persónuálagsstiga </w:t>
      </w:r>
      <w:r>
        <w:t>getur sveitarfélag krafist þess að</w:t>
      </w:r>
      <w:r w:rsidRPr="00792C8E">
        <w:t xml:space="preserve"> starfsmaður  legg</w:t>
      </w:r>
      <w:r>
        <w:t>i</w:t>
      </w:r>
      <w:r w:rsidRPr="00792C8E">
        <w:t xml:space="preserve"> fram gögn </w:t>
      </w:r>
      <w:r>
        <w:t>sem staðfesti þann starfstíma (</w:t>
      </w:r>
      <w:r w:rsidRPr="00792C8E">
        <w:t>vinnuveitendavottorð</w:t>
      </w:r>
      <w:r>
        <w:t>)</w:t>
      </w:r>
      <w:r w:rsidRPr="00792C8E">
        <w:t>.</w:t>
      </w:r>
      <w:r>
        <w:t xml:space="preserve"> Hækkun vegna starfstíma kemur til framkvæmda næstu mánaðarmót eftir að fullnægjandi gögn hafa borist vinnuveitanda. </w:t>
      </w:r>
    </w:p>
    <w:p w:rsidR="0069566E" w:rsidRPr="00755A59" w:rsidRDefault="0069566E" w:rsidP="0069566E">
      <w:pPr>
        <w:pStyle w:val="hersluatrii"/>
      </w:pPr>
      <w:r>
        <w:t xml:space="preserve">Starfstími í öðrum </w:t>
      </w:r>
      <w:r w:rsidRPr="00792C8E">
        <w:t>sambærilegum störfum en hjá sveitarf</w:t>
      </w:r>
      <w:r>
        <w:t xml:space="preserve">élagi gildir frá og með </w:t>
      </w:r>
      <w:r w:rsidRPr="00755A59">
        <w:t xml:space="preserve">1. maí 2011. Starfsmenn hafa frest til 30. september 2011 til að skila inn slíkum </w:t>
      </w:r>
      <w:r>
        <w:t>gögnum sem þá gilda frá 1. maí 2011 þrátt fyrir meginregluna um að persónuálagsstig komi til framkvæmda næstu mánaðamót eftir að fullnægjandi gögnum hefur verið skilað.</w:t>
      </w:r>
    </w:p>
    <w:p w:rsidR="0069566E" w:rsidRPr="00792C8E" w:rsidRDefault="0069566E" w:rsidP="0069566E">
      <w:pPr>
        <w:pStyle w:val="hersluatrii"/>
      </w:pPr>
      <w:r w:rsidRPr="00792C8E">
        <w:t>Hálfur mánuður og stærra brot úr mánuði telst sem heill mánuður.</w:t>
      </w:r>
    </w:p>
    <w:p w:rsidR="0069566E" w:rsidRDefault="0069566E" w:rsidP="0069566E">
      <w:pPr>
        <w:pStyle w:val="hersluatrii"/>
      </w:pPr>
      <w:r w:rsidRPr="00755A59">
        <w:t xml:space="preserve">Við mat á </w:t>
      </w:r>
      <w:r w:rsidRPr="008C26A5">
        <w:t>starfstíma</w:t>
      </w:r>
      <w:r w:rsidRPr="00755A59">
        <w:t xml:space="preserve"> til persónuálagsstiga teljast launaðar veikindafjarvistir sem og lögbundið fæðingarorlof (sem er almennt ekki meira en 6 mánuðir). </w:t>
      </w:r>
    </w:p>
    <w:p w:rsidR="0069566E" w:rsidRPr="00755A59" w:rsidRDefault="0069566E" w:rsidP="0069566E">
      <w:pPr>
        <w:pStyle w:val="hersluatrii"/>
      </w:pPr>
      <w:r>
        <w:lastRenderedPageBreak/>
        <w:t>Starfstími tímavinnufólks er ekki metinn til persónuálagsstiga. Tímavinnustarfs</w:t>
      </w:r>
      <w:r>
        <w:softHyphen/>
        <w:t xml:space="preserve">maður heldur þó áunnum persónuálagsstigum vegna fyrri starfa hjá sveitarfélagi (gildir frá og með </w:t>
      </w:r>
      <w:r w:rsidRPr="00755A59">
        <w:t>1. maí 2011</w:t>
      </w:r>
      <w:r>
        <w:t xml:space="preserve">). </w:t>
      </w:r>
    </w:p>
    <w:p w:rsidR="0069566E" w:rsidRPr="008F6E1B" w:rsidRDefault="0069566E" w:rsidP="0069566E">
      <w:pPr>
        <w:pStyle w:val="Normal2"/>
      </w:pPr>
      <w:r w:rsidRPr="008F6E1B">
        <w:t>Forsenda persónuálags þessa er staðfest þátttaka í símenntunaráætlun stofnunar eða starfseiningar. Í janúar á ári hverju skal þátttaka í símenntunaráætlun næstliðins árs metin. Hafi starfsmaður ekki tekið fullnægjandi þátt í áætluninni missir hann það persónuálag sem hér um ræðir þar til endurmat fer fram að ári. Forsenda fyrir því að starfsmaður missi framangreint persónuálag er að sveitarfélag hafi gert starfsmönnum kleift að taka þátt í áætluninni.</w:t>
      </w:r>
    </w:p>
    <w:p w:rsidR="0069566E" w:rsidRPr="008F6E1B" w:rsidRDefault="0069566E" w:rsidP="0069566E">
      <w:pPr>
        <w:pStyle w:val="Normal2"/>
      </w:pPr>
      <w:r w:rsidRPr="008F6E1B">
        <w:t>Heimilt er forstöðumanni að meta símenntun sem sótt er með stuðningi Vísindasjóðs og/eða endurmenntunarsjóðs sem hluta af þátttöku í símenntunaráætlun stofnunar/starfseiningar.</w:t>
      </w:r>
    </w:p>
    <w:p w:rsidR="0069566E" w:rsidRDefault="0069566E" w:rsidP="0069566E">
      <w:pPr>
        <w:pStyle w:val="Normal2"/>
      </w:pPr>
      <w:r w:rsidRPr="008F6E1B">
        <w:t>Þeir starfsmenn sem hafa áunnið sér viðbótarálag vegna símenntunar fyrir gildistöku samning</w:t>
      </w:r>
      <w:r w:rsidRPr="00406C83">
        <w:t>s</w:t>
      </w:r>
      <w:r w:rsidRPr="008F6E1B">
        <w:t xml:space="preserve"> þessa skulu halda því þar til grein þessi tryggir þeim samsvarandi eða betri kjör. </w:t>
      </w:r>
    </w:p>
    <w:p w:rsidR="00923C8D" w:rsidRDefault="0009431D" w:rsidP="00E0538E">
      <w:pPr>
        <w:pStyle w:val="Heading1"/>
        <w:rPr>
          <w:rFonts w:eastAsia="Calibri" w:cs="Arial"/>
          <w:b w:val="0"/>
          <w:szCs w:val="28"/>
        </w:rPr>
      </w:pPr>
      <w:r w:rsidRPr="00E0538E">
        <w:rPr>
          <w:rFonts w:eastAsia="Calibri"/>
        </w:rPr>
        <w:t>Ráðningarsamningar</w:t>
      </w:r>
      <w:bookmarkEnd w:id="9"/>
    </w:p>
    <w:p w:rsidR="0009431D" w:rsidRPr="0009431D" w:rsidRDefault="0009431D" w:rsidP="0009431D">
      <w:pPr>
        <w:ind w:left="708"/>
        <w:jc w:val="both"/>
        <w:rPr>
          <w:rFonts w:ascii="Arial" w:hAnsi="Arial" w:cs="Arial"/>
          <w:color w:val="17365D" w:themeColor="text2" w:themeShade="BF"/>
        </w:rPr>
      </w:pPr>
      <w:r w:rsidRPr="0009431D">
        <w:rPr>
          <w:rFonts w:ascii="Arial" w:hAnsi="Arial" w:cs="Arial"/>
          <w:color w:val="17365D" w:themeColor="text2" w:themeShade="BF"/>
        </w:rPr>
        <w:t>Grein 11.1.3.1 hljóði svo:</w:t>
      </w:r>
    </w:p>
    <w:p w:rsidR="009B4904" w:rsidRDefault="0009431D" w:rsidP="007D6713">
      <w:pPr>
        <w:ind w:left="708"/>
        <w:jc w:val="both"/>
        <w:rPr>
          <w:rFonts w:ascii="Arial" w:eastAsia="Calibri" w:hAnsi="Arial"/>
        </w:rPr>
      </w:pPr>
      <w:r w:rsidRPr="0009431D">
        <w:rPr>
          <w:rFonts w:ascii="Arial" w:eastAsia="Calibri" w:hAnsi="Arial" w:cs="Times New Roman"/>
        </w:rPr>
        <w:t xml:space="preserve">Ætíð skal gera skriflegan ráðningarsamning við starfsmann, sbr. samning aðila um ráðningarsamninga og </w:t>
      </w:r>
      <w:r w:rsidR="007D0B5D">
        <w:rPr>
          <w:rFonts w:ascii="Arial" w:eastAsia="Calibri" w:hAnsi="Arial" w:cs="Times New Roman"/>
        </w:rPr>
        <w:t>E</w:t>
      </w:r>
      <w:r w:rsidR="00837753">
        <w:rPr>
          <w:rFonts w:ascii="Arial" w:eastAsia="Calibri" w:hAnsi="Arial" w:cs="Times New Roman"/>
        </w:rPr>
        <w:t>vrópu</w:t>
      </w:r>
      <w:r w:rsidRPr="0009431D">
        <w:rPr>
          <w:rFonts w:ascii="Arial" w:eastAsia="Calibri" w:hAnsi="Arial" w:cs="Times New Roman"/>
        </w:rPr>
        <w:t>tilskipun.</w:t>
      </w:r>
      <w:r w:rsidR="009B4904">
        <w:rPr>
          <w:rFonts w:ascii="Arial" w:eastAsia="Calibri" w:hAnsi="Arial" w:cs="Times New Roman"/>
        </w:rPr>
        <w:t xml:space="preserve"> </w:t>
      </w:r>
      <w:r w:rsidRPr="009B4904">
        <w:rPr>
          <w:rFonts w:ascii="Arial" w:eastAsia="Calibri" w:hAnsi="Arial"/>
        </w:rPr>
        <w:t>Brjóti atvinnurekandi gegn ákvæðum þessarar greinar</w:t>
      </w:r>
      <w:r w:rsidR="00C85D29">
        <w:rPr>
          <w:rFonts w:ascii="Arial" w:eastAsia="Calibri" w:hAnsi="Arial"/>
        </w:rPr>
        <w:t xml:space="preserve"> </w:t>
      </w:r>
      <w:r w:rsidRPr="009B4904">
        <w:rPr>
          <w:rFonts w:ascii="Arial" w:eastAsia="Calibri" w:hAnsi="Arial"/>
        </w:rPr>
        <w:t xml:space="preserve">getur það </w:t>
      </w:r>
      <w:r w:rsidRPr="007D6713">
        <w:rPr>
          <w:rFonts w:ascii="Arial" w:eastAsia="Calibri" w:hAnsi="Arial" w:cs="Times New Roman"/>
        </w:rPr>
        <w:t>varðað</w:t>
      </w:r>
      <w:r w:rsidRPr="009B4904">
        <w:rPr>
          <w:rFonts w:ascii="Arial" w:eastAsia="Calibri" w:hAnsi="Arial"/>
        </w:rPr>
        <w:t xml:space="preserve"> hann skaðabótum</w:t>
      </w:r>
      <w:r w:rsidR="009B4904">
        <w:rPr>
          <w:rFonts w:ascii="Arial" w:eastAsia="Calibri" w:hAnsi="Arial"/>
        </w:rPr>
        <w:t xml:space="preserve"> samkvæmt almennum reglum skaðabótaréttar</w:t>
      </w:r>
      <w:r w:rsidRPr="009B4904">
        <w:rPr>
          <w:rFonts w:ascii="Arial" w:eastAsia="Calibri" w:hAnsi="Arial"/>
        </w:rPr>
        <w:t>.</w:t>
      </w:r>
    </w:p>
    <w:p w:rsidR="0009431D" w:rsidRPr="004E5F4A" w:rsidRDefault="0009431D" w:rsidP="004E5F4A">
      <w:pPr>
        <w:pStyle w:val="hersluatrii"/>
        <w:ind w:left="709"/>
      </w:pPr>
      <w:r w:rsidRPr="004E5F4A">
        <w:t>Breytingar á ráðningarkjörum umfram það sem leiðir af lögum eða kjarasamningum er rétt að staðfesta skriflega eigi síðar en mánuði eftir að breytingarnar taka gildi.</w:t>
      </w:r>
    </w:p>
    <w:p w:rsidR="00CD4866" w:rsidRDefault="00C60DC8" w:rsidP="00E0538E">
      <w:pPr>
        <w:pStyle w:val="Heading1"/>
        <w:rPr>
          <w:rFonts w:eastAsia="Calibri" w:cs="Arial"/>
          <w:b w:val="0"/>
          <w:szCs w:val="28"/>
        </w:rPr>
      </w:pPr>
      <w:bookmarkStart w:id="10" w:name="_Toc395790993"/>
      <w:r w:rsidRPr="00E0538E">
        <w:rPr>
          <w:rFonts w:eastAsia="Calibri"/>
        </w:rPr>
        <w:t>Starfsmenntunarsjóður</w:t>
      </w:r>
      <w:bookmarkEnd w:id="10"/>
    </w:p>
    <w:p w:rsidR="002E037D" w:rsidRDefault="002E037D" w:rsidP="002E037D">
      <w:pPr>
        <w:ind w:left="708"/>
        <w:jc w:val="both"/>
        <w:rPr>
          <w:rFonts w:ascii="Arial" w:eastAsia="Calibri" w:hAnsi="Arial" w:cs="Times New Roman"/>
        </w:rPr>
      </w:pPr>
      <w:r w:rsidRPr="002E037D">
        <w:rPr>
          <w:rFonts w:ascii="Arial" w:eastAsia="Calibri" w:hAnsi="Arial" w:cs="Times New Roman"/>
        </w:rPr>
        <w:t>Aðilar eru sammála um að frá og með 1. maí 2014</w:t>
      </w:r>
      <w:r w:rsidR="00132844">
        <w:rPr>
          <w:rFonts w:ascii="Arial" w:eastAsia="Calibri" w:hAnsi="Arial" w:cs="Times New Roman"/>
        </w:rPr>
        <w:t xml:space="preserve"> hækki iðgjald í starfsmenntunarsjóði stéttarfélaganna um</w:t>
      </w:r>
      <w:r w:rsidRPr="002E037D">
        <w:rPr>
          <w:rFonts w:ascii="Arial" w:eastAsia="Calibri" w:hAnsi="Arial" w:cs="Times New Roman"/>
        </w:rPr>
        <w:t xml:space="preserve"> 0,1% af heildarlaunum félagsmanna</w:t>
      </w:r>
      <w:r w:rsidR="00132844">
        <w:rPr>
          <w:rFonts w:ascii="Arial" w:eastAsia="Calibri" w:hAnsi="Arial" w:cs="Times New Roman"/>
        </w:rPr>
        <w:t>.</w:t>
      </w:r>
    </w:p>
    <w:p w:rsidR="000C3B59" w:rsidRPr="004E38B0" w:rsidRDefault="006E3036" w:rsidP="00E0538E">
      <w:pPr>
        <w:pStyle w:val="Heading1"/>
        <w:rPr>
          <w:rFonts w:eastAsia="Calibri" w:cs="Arial"/>
          <w:b w:val="0"/>
          <w:szCs w:val="28"/>
        </w:rPr>
      </w:pPr>
      <w:bookmarkStart w:id="11" w:name="_Toc395790994"/>
      <w:r w:rsidRPr="00E0538E">
        <w:rPr>
          <w:rFonts w:eastAsia="Calibri"/>
        </w:rPr>
        <w:t>Atkvæðagreiðsla</w:t>
      </w:r>
      <w:bookmarkEnd w:id="11"/>
    </w:p>
    <w:p w:rsidR="006E3036" w:rsidRDefault="006E3036" w:rsidP="00677244">
      <w:pPr>
        <w:spacing w:after="0"/>
        <w:ind w:left="708"/>
        <w:jc w:val="both"/>
        <w:rPr>
          <w:rFonts w:ascii="Arial" w:eastAsia="Calibri" w:hAnsi="Arial" w:cs="Times New Roman"/>
        </w:rPr>
      </w:pPr>
      <w:r w:rsidRPr="006E3036">
        <w:rPr>
          <w:rFonts w:ascii="Arial" w:eastAsia="Calibri" w:hAnsi="Arial" w:cs="Times New Roman"/>
        </w:rPr>
        <w:t xml:space="preserve">Samningsaðilar skulu bera samning þennan upp til afgreiðslu fyrir </w:t>
      </w:r>
      <w:r w:rsidR="00AF0350">
        <w:rPr>
          <w:rFonts w:ascii="Arial" w:eastAsia="Calibri" w:hAnsi="Arial" w:cs="Times New Roman"/>
        </w:rPr>
        <w:t>10. september</w:t>
      </w:r>
      <w:r w:rsidRPr="006E3036">
        <w:rPr>
          <w:rFonts w:ascii="Arial" w:eastAsia="Calibri" w:hAnsi="Arial" w:cs="Times New Roman"/>
        </w:rPr>
        <w:t xml:space="preserve"> 2014.  Hafi gagnaðila ekki borist tilkynning um niðurstöðu fyrir kl. 1</w:t>
      </w:r>
      <w:r w:rsidR="00421751">
        <w:rPr>
          <w:rFonts w:ascii="Arial" w:eastAsia="Calibri" w:hAnsi="Arial" w:cs="Times New Roman"/>
        </w:rPr>
        <w:t>4</w:t>
      </w:r>
      <w:r w:rsidRPr="006E3036">
        <w:rPr>
          <w:rFonts w:ascii="Arial" w:eastAsia="Calibri" w:hAnsi="Arial" w:cs="Times New Roman"/>
        </w:rPr>
        <w:t xml:space="preserve">:00 þann </w:t>
      </w:r>
      <w:r w:rsidR="00AF0350">
        <w:rPr>
          <w:rFonts w:ascii="Arial" w:eastAsia="Calibri" w:hAnsi="Arial" w:cs="Times New Roman"/>
        </w:rPr>
        <w:t>10. september</w:t>
      </w:r>
      <w:r w:rsidR="00AF0350" w:rsidRPr="006E3036">
        <w:rPr>
          <w:rFonts w:ascii="Arial" w:eastAsia="Calibri" w:hAnsi="Arial" w:cs="Times New Roman"/>
        </w:rPr>
        <w:t xml:space="preserve"> </w:t>
      </w:r>
      <w:r w:rsidRPr="006E3036">
        <w:rPr>
          <w:rFonts w:ascii="Arial" w:eastAsia="Calibri" w:hAnsi="Arial" w:cs="Times New Roman"/>
        </w:rPr>
        <w:t>2014 skoðast samningurinn samþykktur.</w:t>
      </w:r>
    </w:p>
    <w:p w:rsidR="006E3036" w:rsidRDefault="00EE657D" w:rsidP="00677244">
      <w:pPr>
        <w:jc w:val="center"/>
        <w:rPr>
          <w:rFonts w:ascii="Arial" w:eastAsia="Calibri" w:hAnsi="Arial" w:cs="Times New Roman"/>
        </w:rPr>
      </w:pPr>
      <w:r>
        <w:rPr>
          <w:rFonts w:ascii="Arial" w:eastAsia="Calibri" w:hAnsi="Arial" w:cs="Times New Roman"/>
        </w:rPr>
        <w:br/>
      </w:r>
      <w:r w:rsidR="006E3036" w:rsidRPr="006E3036">
        <w:rPr>
          <w:rFonts w:ascii="Arial" w:eastAsia="Calibri" w:hAnsi="Arial" w:cs="Times New Roman"/>
        </w:rPr>
        <w:t xml:space="preserve">Reykjavík, </w:t>
      </w:r>
      <w:r w:rsidR="004C1455">
        <w:rPr>
          <w:rFonts w:ascii="Arial" w:eastAsia="Calibri" w:hAnsi="Arial" w:cs="Times New Roman"/>
        </w:rPr>
        <w:t>1</w:t>
      </w:r>
      <w:r w:rsidR="005E377E">
        <w:rPr>
          <w:rFonts w:ascii="Arial" w:eastAsia="Calibri" w:hAnsi="Arial" w:cs="Times New Roman"/>
        </w:rPr>
        <w:t>4</w:t>
      </w:r>
      <w:r w:rsidR="006779C1">
        <w:rPr>
          <w:rFonts w:ascii="Arial" w:eastAsia="Calibri" w:hAnsi="Arial" w:cs="Times New Roman"/>
        </w:rPr>
        <w:t>.</w:t>
      </w:r>
      <w:r w:rsidR="004C1455">
        <w:rPr>
          <w:rFonts w:ascii="Arial" w:eastAsia="Calibri" w:hAnsi="Arial" w:cs="Times New Roman"/>
        </w:rPr>
        <w:t xml:space="preserve"> ágúst</w:t>
      </w:r>
      <w:r w:rsidR="00CF2C59">
        <w:rPr>
          <w:rFonts w:ascii="Arial" w:eastAsia="Calibri" w:hAnsi="Arial" w:cs="Times New Roman"/>
        </w:rPr>
        <w:t xml:space="preserve"> </w:t>
      </w:r>
      <w:r w:rsidR="006E3036" w:rsidRPr="006E3036">
        <w:rPr>
          <w:rFonts w:ascii="Arial" w:eastAsia="Calibri" w:hAnsi="Arial" w:cs="Times New Roman"/>
        </w:rPr>
        <w:t>2014</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351"/>
      </w:tblGrid>
      <w:tr w:rsidR="004E5F4A" w:rsidRPr="004E5F4A" w:rsidTr="00677244">
        <w:tc>
          <w:tcPr>
            <w:tcW w:w="4046" w:type="dxa"/>
          </w:tcPr>
          <w:p w:rsidR="006E3036" w:rsidRPr="004E5F4A" w:rsidRDefault="006E3036" w:rsidP="00677244">
            <w:pPr>
              <w:spacing w:before="240" w:line="276" w:lineRule="auto"/>
              <w:rPr>
                <w:rFonts w:ascii="Arial" w:eastAsia="Calibri" w:hAnsi="Arial" w:cs="Times New Roman"/>
              </w:rPr>
            </w:pPr>
            <w:r w:rsidRPr="004E5F4A">
              <w:rPr>
                <w:rFonts w:ascii="Arial" w:eastAsia="Calibri" w:hAnsi="Arial" w:cs="Times New Roman"/>
              </w:rPr>
              <w:t>F.h. Sambands íslenskra sveitarfélaga, með fyrirvara um samþykki stjórnar</w:t>
            </w:r>
          </w:p>
        </w:tc>
        <w:tc>
          <w:tcPr>
            <w:tcW w:w="4351" w:type="dxa"/>
          </w:tcPr>
          <w:p w:rsidR="000244F0" w:rsidRDefault="000244F0" w:rsidP="000244F0">
            <w:pPr>
              <w:autoSpaceDE w:val="0"/>
              <w:autoSpaceDN w:val="0"/>
              <w:adjustRightInd w:val="0"/>
              <w:jc w:val="center"/>
              <w:rPr>
                <w:rFonts w:ascii="Arial" w:eastAsia="Calibri" w:hAnsi="Arial" w:cs="Times New Roman"/>
              </w:rPr>
            </w:pPr>
          </w:p>
          <w:p w:rsidR="000244F0" w:rsidRDefault="006E3036" w:rsidP="000244F0">
            <w:pPr>
              <w:autoSpaceDE w:val="0"/>
              <w:autoSpaceDN w:val="0"/>
              <w:adjustRightInd w:val="0"/>
              <w:rPr>
                <w:rFonts w:ascii="Arial" w:eastAsia="Calibri" w:hAnsi="Arial" w:cs="Times New Roman"/>
              </w:rPr>
            </w:pPr>
            <w:r w:rsidRPr="004E5F4A">
              <w:rPr>
                <w:rFonts w:ascii="Arial" w:eastAsia="Calibri" w:hAnsi="Arial" w:cs="Times New Roman"/>
              </w:rPr>
              <w:t xml:space="preserve">F.h. </w:t>
            </w:r>
            <w:r w:rsidR="003E42C5">
              <w:rPr>
                <w:rFonts w:ascii="Arial" w:eastAsia="Calibri" w:hAnsi="Arial" w:cs="Times New Roman"/>
              </w:rPr>
              <w:t>MATVÍS</w:t>
            </w:r>
            <w:r w:rsidR="000244F0" w:rsidRPr="000244F0">
              <w:rPr>
                <w:rFonts w:ascii="Arial" w:eastAsia="Calibri" w:hAnsi="Arial" w:cs="Times New Roman"/>
              </w:rPr>
              <w:t xml:space="preserve">, </w:t>
            </w:r>
            <w:r w:rsidR="000244F0" w:rsidRPr="004E5F4A">
              <w:rPr>
                <w:rFonts w:ascii="Arial" w:eastAsia="Calibri" w:hAnsi="Arial" w:cs="Times New Roman"/>
              </w:rPr>
              <w:t>með fyrirvara um samþykki félagsmanna</w:t>
            </w:r>
            <w:r w:rsidR="000244F0" w:rsidRPr="000244F0">
              <w:rPr>
                <w:rFonts w:ascii="Arial" w:eastAsia="Calibri" w:hAnsi="Arial" w:cs="Times New Roman"/>
              </w:rPr>
              <w:t xml:space="preserve"> </w:t>
            </w:r>
          </w:p>
          <w:p w:rsidR="000244F0" w:rsidRDefault="000244F0" w:rsidP="000244F0">
            <w:pPr>
              <w:autoSpaceDE w:val="0"/>
              <w:autoSpaceDN w:val="0"/>
              <w:adjustRightInd w:val="0"/>
              <w:jc w:val="center"/>
              <w:rPr>
                <w:rFonts w:ascii="Arial" w:eastAsia="Calibri" w:hAnsi="Arial" w:cs="Times New Roman"/>
              </w:rPr>
            </w:pPr>
          </w:p>
          <w:p w:rsidR="000244F0" w:rsidRDefault="000244F0" w:rsidP="000244F0">
            <w:pPr>
              <w:autoSpaceDE w:val="0"/>
              <w:autoSpaceDN w:val="0"/>
              <w:adjustRightInd w:val="0"/>
              <w:jc w:val="center"/>
              <w:rPr>
                <w:rFonts w:ascii="Arial" w:eastAsia="Calibri" w:hAnsi="Arial" w:cs="Times New Roman"/>
              </w:rPr>
            </w:pPr>
          </w:p>
          <w:p w:rsidR="000244F0" w:rsidRDefault="000244F0" w:rsidP="000244F0">
            <w:pPr>
              <w:autoSpaceDE w:val="0"/>
              <w:autoSpaceDN w:val="0"/>
              <w:adjustRightInd w:val="0"/>
              <w:jc w:val="center"/>
              <w:rPr>
                <w:rFonts w:ascii="Arial" w:eastAsia="Calibri" w:hAnsi="Arial" w:cs="Times New Roman"/>
              </w:rPr>
            </w:pPr>
          </w:p>
          <w:p w:rsidR="006E3036" w:rsidRPr="004E5F4A" w:rsidRDefault="006E3036" w:rsidP="000244F0">
            <w:pPr>
              <w:autoSpaceDE w:val="0"/>
              <w:autoSpaceDN w:val="0"/>
              <w:adjustRightInd w:val="0"/>
              <w:rPr>
                <w:rFonts w:ascii="Arial" w:eastAsia="Calibri" w:hAnsi="Arial" w:cs="Times New Roman"/>
              </w:rPr>
            </w:pPr>
          </w:p>
        </w:tc>
      </w:tr>
      <w:tr w:rsidR="004E5F4A" w:rsidRPr="004E5F4A" w:rsidTr="00677244">
        <w:tc>
          <w:tcPr>
            <w:tcW w:w="4046" w:type="dxa"/>
          </w:tcPr>
          <w:p w:rsidR="006E3036" w:rsidRDefault="006E3036" w:rsidP="00677244">
            <w:pPr>
              <w:spacing w:before="240"/>
              <w:jc w:val="both"/>
            </w:pPr>
          </w:p>
          <w:p w:rsidR="00B725FD" w:rsidRDefault="00B725FD" w:rsidP="00677244">
            <w:pPr>
              <w:spacing w:before="240"/>
              <w:jc w:val="both"/>
            </w:pPr>
          </w:p>
          <w:p w:rsidR="00B725FD" w:rsidRDefault="00B725FD" w:rsidP="00677244">
            <w:pPr>
              <w:spacing w:before="240"/>
              <w:jc w:val="both"/>
            </w:pPr>
          </w:p>
          <w:p w:rsidR="00AF0350" w:rsidRPr="004E5F4A" w:rsidRDefault="00AF0350" w:rsidP="00677244">
            <w:pPr>
              <w:spacing w:before="240"/>
              <w:jc w:val="both"/>
            </w:pPr>
          </w:p>
        </w:tc>
        <w:tc>
          <w:tcPr>
            <w:tcW w:w="4351" w:type="dxa"/>
          </w:tcPr>
          <w:p w:rsidR="006E3036" w:rsidRPr="004E5F4A" w:rsidRDefault="006E3036" w:rsidP="00677244">
            <w:pPr>
              <w:spacing w:before="240"/>
              <w:jc w:val="both"/>
              <w:rPr>
                <w:rFonts w:ascii="Arial" w:eastAsia="Calibri" w:hAnsi="Arial" w:cs="Arial"/>
              </w:rPr>
            </w:pPr>
          </w:p>
        </w:tc>
      </w:tr>
    </w:tbl>
    <w:p w:rsidR="00C218DD" w:rsidRPr="006E3036" w:rsidRDefault="00C218DD" w:rsidP="00E0538E">
      <w:pPr>
        <w:pStyle w:val="Heading1"/>
        <w:rPr>
          <w:rFonts w:eastAsia="Calibri" w:cs="Arial"/>
          <w:b w:val="0"/>
          <w:szCs w:val="28"/>
        </w:rPr>
      </w:pPr>
      <w:bookmarkStart w:id="12" w:name="_Toc395790995"/>
      <w:r w:rsidRPr="006E3036">
        <w:rPr>
          <w:rFonts w:eastAsia="Calibri" w:cs="Arial"/>
          <w:szCs w:val="28"/>
        </w:rPr>
        <w:lastRenderedPageBreak/>
        <w:t>Bókanir</w:t>
      </w:r>
      <w:r w:rsidR="006E3036">
        <w:rPr>
          <w:rFonts w:eastAsia="Calibri" w:cs="Arial"/>
          <w:szCs w:val="28"/>
        </w:rPr>
        <w:t xml:space="preserve"> með kjarasamningi</w:t>
      </w:r>
      <w:bookmarkEnd w:id="12"/>
    </w:p>
    <w:p w:rsidR="00235E2B" w:rsidRPr="00E0538E" w:rsidRDefault="00235E2B" w:rsidP="00E0538E">
      <w:pPr>
        <w:spacing w:after="0"/>
        <w:ind w:left="708"/>
        <w:jc w:val="both"/>
        <w:rPr>
          <w:rFonts w:ascii="Arial" w:hAnsi="Arial" w:cs="Arial"/>
        </w:rPr>
      </w:pPr>
    </w:p>
    <w:p w:rsidR="00017B64" w:rsidRDefault="00017B64" w:rsidP="00017B64">
      <w:pPr>
        <w:spacing w:after="0"/>
        <w:ind w:left="708"/>
        <w:rPr>
          <w:rFonts w:ascii="Arial" w:hAnsi="Arial" w:cs="Arial"/>
          <w:b/>
          <w:color w:val="17365D" w:themeColor="text2" w:themeShade="BF"/>
        </w:rPr>
      </w:pPr>
      <w:r>
        <w:rPr>
          <w:rFonts w:ascii="Arial" w:hAnsi="Arial" w:cs="Arial"/>
          <w:b/>
          <w:color w:val="17365D" w:themeColor="text2" w:themeShade="BF"/>
        </w:rPr>
        <w:t>Bókun 1 um tilhögun vakta</w:t>
      </w:r>
    </w:p>
    <w:p w:rsidR="00017B64" w:rsidRDefault="00017B64" w:rsidP="00017B64">
      <w:pPr>
        <w:spacing w:after="120"/>
        <w:ind w:left="709"/>
        <w:jc w:val="both"/>
        <w:rPr>
          <w:rFonts w:ascii="Arial" w:hAnsi="Arial" w:cs="Arial"/>
        </w:rPr>
      </w:pPr>
      <w:r>
        <w:rPr>
          <w:rFonts w:ascii="Arial" w:hAnsi="Arial" w:cs="Arial"/>
        </w:rPr>
        <w:t xml:space="preserve">Aðilar eru sammála um að skipulag vaktavinnu þar sem vaktir eru mislangar, fleiri og styttri en starfshlutfall starfsmanns kveður á um þannig að hann þurfi að koma til starfa oftar en einu sinni á sólarhring sé íþyngjandi fyrir viðkomandi starfsmann umfram það sem almennt gerist. </w:t>
      </w:r>
    </w:p>
    <w:p w:rsidR="00017B64" w:rsidRDefault="00017B64" w:rsidP="00017B64">
      <w:pPr>
        <w:spacing w:after="0"/>
        <w:ind w:left="708"/>
        <w:jc w:val="both"/>
        <w:rPr>
          <w:rFonts w:ascii="Arial" w:hAnsi="Arial" w:cs="Arial"/>
        </w:rPr>
      </w:pPr>
      <w:r>
        <w:rPr>
          <w:rFonts w:ascii="Arial" w:hAnsi="Arial" w:cs="Arial"/>
        </w:rPr>
        <w:t>Á samningstímanum munu aðilar kanna vaktafyrirkomulag hjá þeim sveitarfélögum  sem um ræðir og leita leiða til úrbóta í samvinnu við sveitarfélögin.</w:t>
      </w:r>
    </w:p>
    <w:p w:rsidR="00017B64" w:rsidRDefault="00017B64" w:rsidP="00017B64">
      <w:pPr>
        <w:spacing w:after="0"/>
        <w:ind w:left="708"/>
        <w:jc w:val="both"/>
        <w:rPr>
          <w:rFonts w:ascii="Arial" w:hAnsi="Arial" w:cs="Arial"/>
        </w:rPr>
      </w:pPr>
    </w:p>
    <w:p w:rsidR="00017B64" w:rsidRDefault="00017B64" w:rsidP="00017B64">
      <w:pPr>
        <w:spacing w:after="0"/>
        <w:ind w:left="708"/>
        <w:rPr>
          <w:rFonts w:ascii="Arial" w:hAnsi="Arial" w:cs="Arial"/>
          <w:b/>
          <w:color w:val="17365D" w:themeColor="text2" w:themeShade="BF"/>
        </w:rPr>
      </w:pPr>
      <w:r>
        <w:rPr>
          <w:rFonts w:ascii="Arial" w:hAnsi="Arial" w:cs="Arial"/>
          <w:b/>
          <w:color w:val="17365D" w:themeColor="text2" w:themeShade="BF"/>
        </w:rPr>
        <w:t>Bókun 2 um vaktavinnunámskeið</w:t>
      </w:r>
    </w:p>
    <w:p w:rsidR="00017B64" w:rsidRDefault="00017B64" w:rsidP="00017B64">
      <w:pPr>
        <w:spacing w:after="0"/>
        <w:ind w:left="708"/>
        <w:jc w:val="both"/>
        <w:rPr>
          <w:rFonts w:ascii="Arial" w:hAnsi="Arial" w:cs="Arial"/>
        </w:rPr>
      </w:pPr>
      <w:r>
        <w:rPr>
          <w:rFonts w:ascii="Arial" w:hAnsi="Arial" w:cs="Arial"/>
        </w:rPr>
        <w:t>Aðilar stefna að því að starfsmenn sem vinna á reglubundnum vöktum skuli eiga þess kost að sækja námskeið í gerð vaktskráa sem taka mið af líkamsklukku og heilsuvernd. Enn fremur með hvaða hætti hægt sé að tryggja að tekið sé tillit til nýjustu þekkingar á áhrifum vaktavinnu á starfsmenn við skipulagningu vinnunnar. BSRB kallar saman starfshóp BSRB, ASÍ og SNS til að vinna málið áfram.</w:t>
      </w:r>
    </w:p>
    <w:p w:rsidR="00017B64" w:rsidRDefault="00017B64" w:rsidP="00017B64">
      <w:pPr>
        <w:spacing w:after="0"/>
        <w:ind w:left="708"/>
        <w:jc w:val="both"/>
        <w:rPr>
          <w:rFonts w:ascii="Arial" w:hAnsi="Arial" w:cs="Arial"/>
        </w:rPr>
      </w:pPr>
    </w:p>
    <w:p w:rsidR="00017B64" w:rsidRDefault="00017B64" w:rsidP="00017B64">
      <w:pPr>
        <w:spacing w:after="0"/>
        <w:ind w:left="708"/>
        <w:rPr>
          <w:rFonts w:ascii="Arial" w:hAnsi="Arial" w:cs="Arial"/>
          <w:b/>
          <w:color w:val="17365D" w:themeColor="text2" w:themeShade="BF"/>
        </w:rPr>
      </w:pPr>
      <w:r>
        <w:rPr>
          <w:rFonts w:ascii="Arial" w:hAnsi="Arial" w:cs="Arial"/>
          <w:b/>
          <w:color w:val="17365D" w:themeColor="text2" w:themeShade="BF"/>
        </w:rPr>
        <w:t>Bókun 3 um endurskoðun vinnulags og verkferla starfsmatsins</w:t>
      </w:r>
    </w:p>
    <w:p w:rsidR="00017B64" w:rsidRDefault="00017B64" w:rsidP="00017B64">
      <w:pPr>
        <w:spacing w:after="100" w:line="240" w:lineRule="auto"/>
        <w:ind w:left="708"/>
        <w:jc w:val="both"/>
        <w:rPr>
          <w:rFonts w:ascii="Arial" w:hAnsi="Arial" w:cs="Arial"/>
        </w:rPr>
      </w:pPr>
      <w:r>
        <w:rPr>
          <w:rFonts w:ascii="Arial" w:hAnsi="Arial" w:cs="Arial"/>
        </w:rPr>
        <w:t>Verkefnastofa starfsmats hefur á hendi starfsmat sveitarfélaga. Starfsmatið er viðvarandi samstarfsverkefni þeirra sveitar- og stéttarfélaga sem um það hafa samið í kjarasamningum og þau mynda með sér starfsmatsnefndir, annars vegar hjá Sambandi íslenskra sveitarfélaga og hins vegar hjá Reykjavíkurborg. Nefndirnar mynda eina faglega samráðsnefnd, sem tekur stefnumótandi ákvarðanir varðandi þróun kerfisins og önnur fagleg málefni. Samráðsnefndin stofnar sameiginlega áfrýjunarnefnd, sem hefur það hlutverk að taka til meðferðar og úrskurða um kærur vegna starfsmatsniðurstöðu.</w:t>
      </w:r>
    </w:p>
    <w:p w:rsidR="00017B64" w:rsidRDefault="00017B64" w:rsidP="00017B64">
      <w:pPr>
        <w:spacing w:after="100" w:line="240" w:lineRule="auto"/>
        <w:ind w:left="708"/>
        <w:jc w:val="both"/>
        <w:rPr>
          <w:rFonts w:ascii="Arial" w:hAnsi="Arial" w:cs="Arial"/>
        </w:rPr>
      </w:pPr>
      <w:r>
        <w:rPr>
          <w:rFonts w:ascii="Arial" w:hAnsi="Arial" w:cs="Arial"/>
        </w:rPr>
        <w:t>Samningsaðilar eru sammála um að leggja sameiginlega endurskoðunarvinnu á vinnulagi og verkferlum starfsmatsins, sem hófst á haustmánuðum 2012, til grundvallar að breyttum starfsreglum starfsmatsnefndar aðila.  Markmið breytinganna er að bæta verklag, auka skilvirkni og málshraða. Aðilar eru sammála um að fyrir lok október 2014 verði tillögur að nýjum starfsreglum lagðar fram í starfsmatsnefnd til afgreiðslu. Helstu efnisatriði sem starfsreglurnar ná til eru eftirfarandi:</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 xml:space="preserve">Starfshættir starfsmatsnefndar </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 xml:space="preserve">Málsmeðferð </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Skilyrði starfsmats og flokkun starfa</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 xml:space="preserve">Skipulag starfsmatsviðtala </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 xml:space="preserve">Endurmat starfa </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Endurskoðun starfsmats</w:t>
      </w:r>
    </w:p>
    <w:p w:rsidR="00017B64" w:rsidRDefault="00017B64" w:rsidP="00017B64">
      <w:pPr>
        <w:pStyle w:val="ListParagraph"/>
        <w:numPr>
          <w:ilvl w:val="0"/>
          <w:numId w:val="32"/>
        </w:numPr>
        <w:spacing w:after="120" w:line="240" w:lineRule="auto"/>
        <w:ind w:left="1423" w:hanging="357"/>
        <w:jc w:val="both"/>
        <w:rPr>
          <w:rFonts w:ascii="Arial" w:hAnsi="Arial" w:cs="Arial"/>
        </w:rPr>
      </w:pPr>
      <w:r>
        <w:rPr>
          <w:rFonts w:ascii="Arial" w:hAnsi="Arial" w:cs="Arial"/>
        </w:rPr>
        <w:t>Fræðsla og kynning</w:t>
      </w:r>
    </w:p>
    <w:p w:rsidR="00017B64" w:rsidRDefault="00017B64" w:rsidP="00017B64">
      <w:pPr>
        <w:spacing w:before="100" w:after="100" w:line="240" w:lineRule="auto"/>
        <w:ind w:left="708"/>
        <w:jc w:val="both"/>
        <w:rPr>
          <w:rFonts w:ascii="Arial" w:hAnsi="Arial" w:cs="Arial"/>
        </w:rPr>
      </w:pPr>
      <w:r>
        <w:rPr>
          <w:rFonts w:ascii="Arial" w:hAnsi="Arial" w:cs="Arial"/>
        </w:rPr>
        <w:t xml:space="preserve">Með yfirstandandi endurskoðunarvinnu samstarfsaðila starfsmatsins vilja aðilar treysta umgjörð starfsmatskerfisins sem réttmæts og áreiðanlegs mælitækis er metur sambærileg og jafn verðmæt störf á kynhlutlausan hátt. </w:t>
      </w:r>
    </w:p>
    <w:p w:rsidR="00017B64" w:rsidRDefault="00017B64" w:rsidP="00017B64">
      <w:pPr>
        <w:spacing w:before="100" w:after="100" w:line="240" w:lineRule="auto"/>
        <w:ind w:left="708"/>
        <w:jc w:val="both"/>
        <w:rPr>
          <w:rFonts w:ascii="Arial" w:hAnsi="Arial" w:cs="Arial"/>
        </w:rPr>
      </w:pPr>
    </w:p>
    <w:p w:rsidR="00017B64" w:rsidRDefault="00017B64" w:rsidP="00017B64">
      <w:pPr>
        <w:rPr>
          <w:rFonts w:ascii="Arial" w:hAnsi="Arial" w:cs="Arial"/>
        </w:rPr>
      </w:pPr>
      <w:r>
        <w:rPr>
          <w:rFonts w:ascii="Arial" w:hAnsi="Arial" w:cs="Arial"/>
        </w:rPr>
        <w:br w:type="page"/>
      </w:r>
    </w:p>
    <w:p w:rsidR="00017B64" w:rsidRDefault="00017B64" w:rsidP="00017B64">
      <w:pPr>
        <w:spacing w:after="0"/>
        <w:ind w:left="708"/>
        <w:rPr>
          <w:rFonts w:ascii="Arial" w:hAnsi="Arial" w:cs="Arial"/>
        </w:rPr>
      </w:pPr>
      <w:r>
        <w:rPr>
          <w:rFonts w:ascii="Arial" w:hAnsi="Arial" w:cs="Arial"/>
          <w:b/>
          <w:color w:val="17365D" w:themeColor="text2" w:themeShade="BF"/>
        </w:rPr>
        <w:lastRenderedPageBreak/>
        <w:t>Bókun 4 um endurskoðun á starfsmatsniðurstöðum</w:t>
      </w:r>
    </w:p>
    <w:p w:rsidR="00017B64" w:rsidRDefault="00017B64" w:rsidP="00017B64">
      <w:pPr>
        <w:spacing w:before="100" w:after="100" w:line="240" w:lineRule="auto"/>
        <w:ind w:left="708"/>
        <w:jc w:val="both"/>
        <w:rPr>
          <w:rFonts w:ascii="Arial" w:hAnsi="Arial" w:cs="Arial"/>
        </w:rPr>
      </w:pPr>
      <w:r>
        <w:rPr>
          <w:rFonts w:ascii="Arial" w:hAnsi="Arial" w:cs="Arial"/>
        </w:rPr>
        <w:t xml:space="preserve">Aðilar eru sammála um að þörf sé á markvissri heildarendurskoðun á starfsmatsniðurstöðum og starfsmatskerfinu til að tryggja að niðurstöðurnar endurspegli störf og starfsumhverfi sveitarfélaga. Endurskoðunarvinnan felur meðal annars í sér samanburð á mati á störfum þvert á svið (þverkeyrsla) og starfsstaði sveitarfélaga og þess gætt að ekki sé um ómálefnalegan mismun að ræða. Breytingar sem leiða til launahækkana vegna þessarar endurskoðunar munu taka gildi frá upphafi þessa samnings. </w:t>
      </w:r>
    </w:p>
    <w:p w:rsidR="00017B64" w:rsidRDefault="00017B64" w:rsidP="00017B64">
      <w:pPr>
        <w:spacing w:before="100" w:after="100" w:line="240" w:lineRule="auto"/>
        <w:ind w:left="708"/>
        <w:jc w:val="both"/>
        <w:rPr>
          <w:rFonts w:ascii="Arial" w:hAnsi="Arial" w:cs="Arial"/>
        </w:rPr>
      </w:pPr>
    </w:p>
    <w:p w:rsidR="00017B64" w:rsidRDefault="00017B64" w:rsidP="00017B64">
      <w:pPr>
        <w:spacing w:line="240" w:lineRule="auto"/>
        <w:ind w:left="708"/>
        <w:rPr>
          <w:rFonts w:ascii="Arial" w:hAnsi="Arial" w:cs="Arial"/>
        </w:rPr>
      </w:pPr>
      <w:r>
        <w:rPr>
          <w:rFonts w:ascii="Arial" w:hAnsi="Arial" w:cs="Arial"/>
          <w:b/>
          <w:color w:val="17365D" w:themeColor="text2" w:themeShade="BF"/>
        </w:rPr>
        <w:t>Bókun 5 um jafnræði í launum óháð stéttarfélagsaðild</w:t>
      </w:r>
    </w:p>
    <w:p w:rsidR="00017B64" w:rsidRDefault="00017B64" w:rsidP="00017B64">
      <w:pPr>
        <w:autoSpaceDE w:val="0"/>
        <w:autoSpaceDN w:val="0"/>
        <w:adjustRightInd w:val="0"/>
        <w:spacing w:after="0" w:line="240" w:lineRule="auto"/>
        <w:ind w:left="708"/>
        <w:jc w:val="both"/>
        <w:rPr>
          <w:rFonts w:ascii="Arial" w:hAnsi="Arial" w:cs="Arial"/>
        </w:rPr>
      </w:pPr>
      <w:r>
        <w:rPr>
          <w:rFonts w:ascii="Arial" w:hAnsi="Arial" w:cs="Arial"/>
        </w:rPr>
        <w:t xml:space="preserve">Aðilar eru sammála um að beina þeim tilmælum til sveitarfélaga að jafnræðis verði gætt í launum þeirra starfsmanna sem vinna sömu og/eða sambærileg störf innan sveitarfélags, óháð stéttarfélagsaðild. </w:t>
      </w:r>
    </w:p>
    <w:p w:rsidR="00017B64" w:rsidRDefault="00017B64" w:rsidP="00017B64">
      <w:pPr>
        <w:autoSpaceDE w:val="0"/>
        <w:autoSpaceDN w:val="0"/>
        <w:adjustRightInd w:val="0"/>
        <w:spacing w:after="0" w:line="240" w:lineRule="auto"/>
        <w:ind w:left="708"/>
        <w:jc w:val="both"/>
        <w:rPr>
          <w:rFonts w:ascii="Arial" w:hAnsi="Arial" w:cs="Arial"/>
        </w:rPr>
      </w:pPr>
    </w:p>
    <w:p w:rsidR="00017B64" w:rsidRDefault="00017B64" w:rsidP="00017B64">
      <w:pPr>
        <w:spacing w:line="240" w:lineRule="auto"/>
        <w:ind w:left="708"/>
        <w:rPr>
          <w:rFonts w:ascii="Arial" w:hAnsi="Arial" w:cs="Arial"/>
        </w:rPr>
      </w:pPr>
      <w:r>
        <w:rPr>
          <w:rFonts w:ascii="Arial" w:hAnsi="Arial" w:cs="Arial"/>
          <w:b/>
          <w:color w:val="17365D" w:themeColor="text2" w:themeShade="BF"/>
        </w:rPr>
        <w:t>Bókun 6 um sérákvæði</w:t>
      </w:r>
    </w:p>
    <w:p w:rsidR="00017B64" w:rsidRDefault="00017B64" w:rsidP="00017B64">
      <w:pPr>
        <w:autoSpaceDE w:val="0"/>
        <w:autoSpaceDN w:val="0"/>
        <w:adjustRightInd w:val="0"/>
        <w:spacing w:after="0" w:line="240" w:lineRule="auto"/>
        <w:ind w:left="708"/>
        <w:jc w:val="both"/>
        <w:rPr>
          <w:rFonts w:ascii="Arial" w:hAnsi="Arial" w:cs="Arial"/>
        </w:rPr>
      </w:pPr>
      <w:r>
        <w:rPr>
          <w:rFonts w:ascii="Arial" w:hAnsi="Arial" w:cs="Arial"/>
        </w:rPr>
        <w:t>Aðilar eru sammála um að sérákvæði einstakra stéttarfélaga sem fylgdu fyrri kjarasamningi haldi áfram gildi sínu.</w:t>
      </w:r>
    </w:p>
    <w:p w:rsidR="006350EE" w:rsidRDefault="006350EE" w:rsidP="006350EE">
      <w:pPr>
        <w:spacing w:line="240" w:lineRule="auto"/>
        <w:ind w:left="708"/>
        <w:rPr>
          <w:rFonts w:ascii="Arial" w:hAnsi="Arial" w:cs="Arial"/>
          <w:b/>
          <w:color w:val="17365D" w:themeColor="text2" w:themeShade="BF"/>
        </w:rPr>
      </w:pPr>
    </w:p>
    <w:p w:rsidR="00017B64" w:rsidRDefault="00017B64" w:rsidP="00017B64">
      <w:pPr>
        <w:spacing w:line="240" w:lineRule="auto"/>
        <w:ind w:left="708"/>
        <w:rPr>
          <w:rFonts w:ascii="Arial" w:hAnsi="Arial" w:cs="Arial"/>
        </w:rPr>
      </w:pPr>
      <w:r>
        <w:rPr>
          <w:rFonts w:ascii="Arial" w:hAnsi="Arial" w:cs="Arial"/>
          <w:b/>
          <w:color w:val="17365D" w:themeColor="text2" w:themeShade="BF"/>
        </w:rPr>
        <w:t xml:space="preserve">Bókun </w:t>
      </w:r>
      <w:r w:rsidR="00195B22">
        <w:rPr>
          <w:rFonts w:ascii="Arial" w:hAnsi="Arial" w:cs="Arial"/>
          <w:b/>
          <w:color w:val="17365D" w:themeColor="text2" w:themeShade="BF"/>
        </w:rPr>
        <w:t>7</w:t>
      </w:r>
      <w:r>
        <w:rPr>
          <w:rFonts w:ascii="Arial" w:hAnsi="Arial" w:cs="Arial"/>
          <w:b/>
          <w:color w:val="17365D" w:themeColor="text2" w:themeShade="BF"/>
        </w:rPr>
        <w:t xml:space="preserve"> viðb</w:t>
      </w:r>
      <w:r w:rsidR="00195B22">
        <w:rPr>
          <w:rFonts w:ascii="Arial" w:hAnsi="Arial" w:cs="Arial"/>
          <w:b/>
          <w:color w:val="17365D" w:themeColor="text2" w:themeShade="BF"/>
        </w:rPr>
        <w:t>ót</w:t>
      </w:r>
      <w:r>
        <w:rPr>
          <w:rFonts w:ascii="Arial" w:hAnsi="Arial" w:cs="Arial"/>
          <w:b/>
          <w:color w:val="17365D" w:themeColor="text2" w:themeShade="BF"/>
        </w:rPr>
        <w:t xml:space="preserve"> við bók</w:t>
      </w:r>
      <w:r w:rsidR="00195B22">
        <w:rPr>
          <w:rFonts w:ascii="Arial" w:hAnsi="Arial" w:cs="Arial"/>
          <w:b/>
          <w:color w:val="17365D" w:themeColor="text2" w:themeShade="BF"/>
        </w:rPr>
        <w:t>un 3</w:t>
      </w:r>
      <w:r>
        <w:rPr>
          <w:rFonts w:ascii="Arial" w:hAnsi="Arial" w:cs="Arial"/>
          <w:b/>
          <w:color w:val="17365D" w:themeColor="text2" w:themeShade="BF"/>
        </w:rPr>
        <w:t xml:space="preserve"> um endurskoðun vinnulags og verkferla starfsmatsins</w:t>
      </w:r>
      <w:r w:rsidRPr="00EE657D">
        <w:rPr>
          <w:rFonts w:ascii="Arial" w:hAnsi="Arial" w:cs="Arial"/>
        </w:rPr>
        <w:t xml:space="preserve"> </w:t>
      </w:r>
    </w:p>
    <w:p w:rsidR="00195B22" w:rsidRDefault="00EE657D" w:rsidP="00EE657D">
      <w:pPr>
        <w:ind w:left="708"/>
        <w:jc w:val="both"/>
        <w:rPr>
          <w:rFonts w:ascii="Arial" w:hAnsi="Arial" w:cs="Arial"/>
        </w:rPr>
      </w:pPr>
      <w:r w:rsidRPr="00EE657D">
        <w:rPr>
          <w:rFonts w:ascii="Arial" w:hAnsi="Arial" w:cs="Arial"/>
        </w:rPr>
        <w:t xml:space="preserve">Aðilar eru sammála um að </w:t>
      </w:r>
      <w:r w:rsidR="00195B22">
        <w:rPr>
          <w:rFonts w:ascii="Arial" w:hAnsi="Arial" w:cs="Arial"/>
        </w:rPr>
        <w:t xml:space="preserve">tryggt verði að fulltrúi iðnaðarmannafélaga komi beint að sameiginlegri vinnu um </w:t>
      </w:r>
      <w:r w:rsidRPr="00EE657D">
        <w:rPr>
          <w:rFonts w:ascii="Arial" w:hAnsi="Arial" w:cs="Arial"/>
        </w:rPr>
        <w:t>endurskoðun vinnulags og verkferla starfsmatsins</w:t>
      </w:r>
      <w:r w:rsidR="00195B22">
        <w:rPr>
          <w:rFonts w:ascii="Arial" w:hAnsi="Arial" w:cs="Arial"/>
        </w:rPr>
        <w:t xml:space="preserve"> og</w:t>
      </w:r>
      <w:r w:rsidRPr="00EE657D">
        <w:rPr>
          <w:rFonts w:ascii="Arial" w:hAnsi="Arial" w:cs="Arial"/>
        </w:rPr>
        <w:t xml:space="preserve"> útfærslu á launa- og tengitöflu</w:t>
      </w:r>
      <w:r w:rsidR="00195B22">
        <w:rPr>
          <w:rFonts w:ascii="Arial" w:hAnsi="Arial" w:cs="Arial"/>
        </w:rPr>
        <w:t>,</w:t>
      </w:r>
      <w:r w:rsidRPr="00EE657D">
        <w:rPr>
          <w:rFonts w:ascii="Arial" w:hAnsi="Arial" w:cs="Arial"/>
        </w:rPr>
        <w:t xml:space="preserve"> sem </w:t>
      </w:r>
      <w:r w:rsidR="00195B22">
        <w:rPr>
          <w:rFonts w:ascii="Arial" w:hAnsi="Arial" w:cs="Arial"/>
        </w:rPr>
        <w:t xml:space="preserve">farið verður í á samningstímanum. </w:t>
      </w:r>
    </w:p>
    <w:p w:rsidR="00195B22" w:rsidRDefault="00195B22" w:rsidP="00EE657D">
      <w:pPr>
        <w:ind w:left="708"/>
        <w:jc w:val="both"/>
        <w:rPr>
          <w:rFonts w:ascii="Arial" w:hAnsi="Arial" w:cs="Arial"/>
        </w:rPr>
      </w:pPr>
      <w:r>
        <w:rPr>
          <w:rFonts w:ascii="Arial" w:hAnsi="Arial" w:cs="Arial"/>
        </w:rPr>
        <w:t>Aðilar eru einnig sammála um að tryggja beina aðkomu iðnaðarmannafélaga að þeim kjaraviðræðum sem í hönd fara samkvæmt meðfylgjandi viðræðuáætlun.</w:t>
      </w:r>
    </w:p>
    <w:p w:rsidR="00EE657D" w:rsidRPr="00EE657D" w:rsidRDefault="00EE657D" w:rsidP="00EE657D">
      <w:pPr>
        <w:ind w:left="708"/>
        <w:jc w:val="both"/>
        <w:rPr>
          <w:rFonts w:ascii="Arial" w:hAnsi="Arial" w:cs="Arial"/>
        </w:rPr>
      </w:pPr>
      <w:r w:rsidRPr="00EE657D">
        <w:rPr>
          <w:rFonts w:ascii="Arial" w:hAnsi="Arial" w:cs="Arial"/>
        </w:rPr>
        <w:t xml:space="preserve">Aðilar eru sammála um  nauðsyn þess að vinna markvisst að því að laun iðnaðarmanna hjá sveitarfélögunum þróist í takt við það sem almennt gerist og því mikilvægt að endurskoðun starfsmatsins endurspegli þann vilja. </w:t>
      </w:r>
    </w:p>
    <w:p w:rsidR="006350EE" w:rsidRPr="00EE657D" w:rsidRDefault="00EE657D" w:rsidP="006350EE">
      <w:pPr>
        <w:tabs>
          <w:tab w:val="left" w:pos="7635"/>
        </w:tabs>
        <w:rPr>
          <w:rFonts w:ascii="Arial" w:hAnsi="Arial" w:cs="Arial"/>
        </w:rPr>
      </w:pPr>
      <w:r>
        <w:rPr>
          <w:rFonts w:ascii="Arial" w:hAnsi="Arial" w:cs="Arial"/>
        </w:rPr>
        <w:tab/>
      </w:r>
      <w:r w:rsidR="006350EE" w:rsidRPr="00EE657D">
        <w:rPr>
          <w:rFonts w:ascii="Arial" w:hAnsi="Arial" w:cs="Arial"/>
        </w:rPr>
        <w:tab/>
      </w:r>
    </w:p>
    <w:p w:rsidR="008B34C8" w:rsidRPr="00EE657D" w:rsidRDefault="008B34C8" w:rsidP="004B44F8">
      <w:pPr>
        <w:autoSpaceDE w:val="0"/>
        <w:autoSpaceDN w:val="0"/>
        <w:adjustRightInd w:val="0"/>
        <w:spacing w:after="0" w:line="240" w:lineRule="auto"/>
        <w:ind w:left="708"/>
        <w:jc w:val="both"/>
        <w:rPr>
          <w:rFonts w:ascii="Arial" w:hAnsi="Arial" w:cs="Arial"/>
        </w:rPr>
      </w:pPr>
    </w:p>
    <w:p w:rsidR="00BA3212" w:rsidRPr="00EE657D" w:rsidRDefault="00BA3212">
      <w:pPr>
        <w:rPr>
          <w:rFonts w:ascii="Arial" w:hAnsi="Arial" w:cs="Arial"/>
        </w:rPr>
      </w:pPr>
      <w:r w:rsidRPr="00EE657D">
        <w:rPr>
          <w:rFonts w:ascii="Arial" w:hAnsi="Arial" w:cs="Arial"/>
        </w:rPr>
        <w:br w:type="page"/>
      </w:r>
    </w:p>
    <w:p w:rsidR="00986D10" w:rsidRDefault="00BA3212" w:rsidP="00E0538E">
      <w:pPr>
        <w:pStyle w:val="Heading1"/>
        <w:rPr>
          <w:rFonts w:eastAsia="Calibri" w:cs="Arial"/>
          <w:b w:val="0"/>
          <w:szCs w:val="28"/>
        </w:rPr>
      </w:pPr>
      <w:bookmarkStart w:id="13" w:name="_Toc395790996"/>
      <w:r>
        <w:rPr>
          <w:rFonts w:eastAsia="Calibri" w:cs="Arial"/>
          <w:szCs w:val="28"/>
        </w:rPr>
        <w:lastRenderedPageBreak/>
        <w:t xml:space="preserve">Fylgiskjal I: </w:t>
      </w:r>
      <w:r w:rsidR="00986D10">
        <w:rPr>
          <w:rFonts w:eastAsia="Calibri" w:cs="Arial"/>
          <w:szCs w:val="28"/>
        </w:rPr>
        <w:t>launat</w:t>
      </w:r>
      <w:r w:rsidR="00017B64">
        <w:rPr>
          <w:rFonts w:eastAsia="Calibri" w:cs="Arial"/>
          <w:szCs w:val="28"/>
        </w:rPr>
        <w:t>afla</w:t>
      </w:r>
      <w:bookmarkEnd w:id="13"/>
    </w:p>
    <w:p w:rsidR="006779C1" w:rsidRDefault="0012081A" w:rsidP="007D6713">
      <w:pPr>
        <w:spacing w:before="100" w:after="100" w:line="240" w:lineRule="auto"/>
        <w:ind w:left="708"/>
        <w:jc w:val="both"/>
        <w:rPr>
          <w:rFonts w:ascii="Arial" w:hAnsi="Arial" w:cs="Arial"/>
        </w:rPr>
      </w:pPr>
      <w:r w:rsidRPr="004D5C07">
        <w:rPr>
          <w:noProof/>
          <w:lang w:eastAsia="is-IS"/>
        </w:rPr>
        <w:drawing>
          <wp:inline distT="0" distB="0" distL="0" distR="0" wp14:anchorId="07403128" wp14:editId="44AA7651">
            <wp:extent cx="5669280" cy="77419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280" cy="7741920"/>
                    </a:xfrm>
                    <a:prstGeom prst="rect">
                      <a:avLst/>
                    </a:prstGeom>
                    <a:noFill/>
                    <a:ln>
                      <a:noFill/>
                    </a:ln>
                  </pic:spPr>
                </pic:pic>
              </a:graphicData>
            </a:graphic>
          </wp:inline>
        </w:drawing>
      </w:r>
    </w:p>
    <w:p w:rsidR="009D51A8" w:rsidRDefault="009D51A8" w:rsidP="007D6713">
      <w:pPr>
        <w:spacing w:before="100" w:after="100" w:line="240" w:lineRule="auto"/>
        <w:ind w:left="708"/>
        <w:jc w:val="both"/>
        <w:rPr>
          <w:rFonts w:ascii="Arial" w:hAnsi="Arial" w:cs="Arial"/>
        </w:rPr>
      </w:pPr>
    </w:p>
    <w:p w:rsidR="00EC6177" w:rsidRDefault="00EC6177" w:rsidP="007D6713">
      <w:pPr>
        <w:spacing w:before="100" w:after="100" w:line="240" w:lineRule="auto"/>
        <w:ind w:left="708"/>
        <w:jc w:val="both"/>
        <w:rPr>
          <w:rFonts w:ascii="Arial" w:hAnsi="Arial" w:cs="Arial"/>
        </w:rPr>
      </w:pPr>
    </w:p>
    <w:p w:rsidR="007D6713" w:rsidRDefault="007D6713" w:rsidP="007D6713">
      <w:pPr>
        <w:spacing w:before="100" w:after="100" w:line="240" w:lineRule="auto"/>
        <w:ind w:left="708"/>
        <w:jc w:val="both"/>
        <w:rPr>
          <w:rFonts w:ascii="Arial" w:hAnsi="Arial" w:cs="Arial"/>
        </w:rPr>
      </w:pPr>
    </w:p>
    <w:p w:rsidR="009D51A8" w:rsidRDefault="009D51A8" w:rsidP="009019E7">
      <w:pPr>
        <w:ind w:left="708"/>
        <w:rPr>
          <w:rFonts w:ascii="Arial" w:hAnsi="Arial" w:cs="Arial"/>
        </w:rPr>
      </w:pPr>
      <w:r>
        <w:rPr>
          <w:rFonts w:ascii="Arial" w:hAnsi="Arial" w:cs="Arial"/>
        </w:rPr>
        <w:br w:type="page"/>
      </w:r>
      <w:r w:rsidR="0012081A" w:rsidRPr="004D5C07">
        <w:rPr>
          <w:noProof/>
          <w:lang w:eastAsia="is-IS"/>
        </w:rPr>
        <w:lastRenderedPageBreak/>
        <w:drawing>
          <wp:inline distT="0" distB="0" distL="0" distR="0" wp14:anchorId="2B7EB0B6" wp14:editId="364DFD86">
            <wp:extent cx="5669280" cy="648589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6485890"/>
                    </a:xfrm>
                    <a:prstGeom prst="rect">
                      <a:avLst/>
                    </a:prstGeom>
                    <a:noFill/>
                    <a:ln>
                      <a:noFill/>
                    </a:ln>
                  </pic:spPr>
                </pic:pic>
              </a:graphicData>
            </a:graphic>
          </wp:inline>
        </w:drawing>
      </w:r>
    </w:p>
    <w:p w:rsidR="007D6713" w:rsidRDefault="007D6713" w:rsidP="007D6713">
      <w:pPr>
        <w:spacing w:before="100" w:after="100" w:line="240" w:lineRule="auto"/>
        <w:ind w:left="708"/>
        <w:jc w:val="both"/>
        <w:rPr>
          <w:rFonts w:ascii="Arial" w:hAnsi="Arial" w:cs="Arial"/>
        </w:rPr>
      </w:pPr>
    </w:p>
    <w:p w:rsidR="00EC6177" w:rsidRDefault="00EC6177" w:rsidP="007D6713">
      <w:pPr>
        <w:spacing w:before="100" w:after="100" w:line="240" w:lineRule="auto"/>
        <w:ind w:left="708"/>
        <w:jc w:val="both"/>
        <w:rPr>
          <w:rFonts w:ascii="Arial" w:hAnsi="Arial" w:cs="Arial"/>
        </w:rPr>
      </w:pPr>
    </w:p>
    <w:p w:rsidR="00EC6177" w:rsidRDefault="00EC6177"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017B64" w:rsidRDefault="00017B64" w:rsidP="007D6713">
      <w:pPr>
        <w:spacing w:before="100" w:after="100" w:line="240" w:lineRule="auto"/>
        <w:ind w:left="708"/>
        <w:jc w:val="both"/>
        <w:rPr>
          <w:noProof/>
          <w:lang w:eastAsia="is-IS"/>
        </w:rPr>
      </w:pPr>
    </w:p>
    <w:p w:rsidR="001300FC" w:rsidRPr="00BA3212" w:rsidRDefault="006A4896" w:rsidP="00BA3212">
      <w:pPr>
        <w:pStyle w:val="Heading1"/>
      </w:pPr>
      <w:bookmarkStart w:id="14" w:name="_Toc395790997"/>
      <w:r>
        <w:t xml:space="preserve">Fylgiskjal II:  </w:t>
      </w:r>
      <w:r w:rsidR="001300FC" w:rsidRPr="00BA3212">
        <w:t>Tengitafla VIÐ STARFSMAT</w:t>
      </w:r>
      <w:bookmarkEnd w:id="14"/>
    </w:p>
    <w:p w:rsidR="001300FC" w:rsidRDefault="001300FC" w:rsidP="007D6713">
      <w:pPr>
        <w:spacing w:before="100" w:after="100" w:line="240" w:lineRule="auto"/>
        <w:ind w:left="708"/>
        <w:jc w:val="both"/>
        <w:rPr>
          <w:rFonts w:ascii="Arial" w:hAnsi="Arial" w:cs="Arial"/>
        </w:rPr>
      </w:pPr>
    </w:p>
    <w:p w:rsidR="004E5F4A" w:rsidRDefault="004E5F4A" w:rsidP="007D6713">
      <w:pPr>
        <w:spacing w:before="100" w:after="100" w:line="240" w:lineRule="auto"/>
        <w:ind w:left="708"/>
        <w:jc w:val="both"/>
        <w:rPr>
          <w:rFonts w:ascii="Arial" w:hAnsi="Arial" w:cs="Arial"/>
        </w:rPr>
      </w:pPr>
      <w:r w:rsidRPr="004E5F4A">
        <w:rPr>
          <w:noProof/>
          <w:lang w:eastAsia="is-IS"/>
        </w:rPr>
        <w:drawing>
          <wp:inline distT="0" distB="0" distL="0" distR="0" wp14:anchorId="67E21BF1" wp14:editId="6856DDD7">
            <wp:extent cx="5153025" cy="7562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7562850"/>
                    </a:xfrm>
                    <a:prstGeom prst="rect">
                      <a:avLst/>
                    </a:prstGeom>
                    <a:noFill/>
                    <a:ln>
                      <a:noFill/>
                    </a:ln>
                  </pic:spPr>
                </pic:pic>
              </a:graphicData>
            </a:graphic>
          </wp:inline>
        </w:drawing>
      </w:r>
    </w:p>
    <w:p w:rsidR="004E5F4A" w:rsidRDefault="004E5F4A" w:rsidP="007D6713">
      <w:pPr>
        <w:spacing w:before="100" w:after="100" w:line="240" w:lineRule="auto"/>
        <w:ind w:left="708"/>
        <w:jc w:val="both"/>
        <w:rPr>
          <w:rFonts w:ascii="Arial" w:hAnsi="Arial" w:cs="Arial"/>
        </w:rPr>
      </w:pPr>
    </w:p>
    <w:p w:rsidR="004E5F4A" w:rsidRDefault="004E5F4A" w:rsidP="0012081A">
      <w:pPr>
        <w:ind w:left="708"/>
        <w:rPr>
          <w:rFonts w:ascii="Arial" w:hAnsi="Arial" w:cs="Arial"/>
        </w:rPr>
      </w:pPr>
      <w:r>
        <w:rPr>
          <w:rFonts w:ascii="Arial" w:hAnsi="Arial" w:cs="Arial"/>
        </w:rPr>
        <w:br w:type="page"/>
      </w:r>
      <w:r w:rsidRPr="004E5F4A">
        <w:rPr>
          <w:noProof/>
          <w:lang w:eastAsia="is-IS"/>
        </w:rPr>
        <w:lastRenderedPageBreak/>
        <w:drawing>
          <wp:inline distT="0" distB="0" distL="0" distR="0" wp14:anchorId="67897385" wp14:editId="1F219D2B">
            <wp:extent cx="5153025" cy="6800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6800850"/>
                    </a:xfrm>
                    <a:prstGeom prst="rect">
                      <a:avLst/>
                    </a:prstGeom>
                    <a:noFill/>
                    <a:ln>
                      <a:noFill/>
                    </a:ln>
                  </pic:spPr>
                </pic:pic>
              </a:graphicData>
            </a:graphic>
          </wp:inline>
        </w:drawing>
      </w:r>
    </w:p>
    <w:p w:rsidR="001300FC" w:rsidRDefault="001300FC" w:rsidP="007D6713">
      <w:pPr>
        <w:spacing w:before="100" w:after="100" w:line="240" w:lineRule="auto"/>
        <w:ind w:left="708"/>
        <w:jc w:val="both"/>
        <w:rPr>
          <w:rFonts w:ascii="Arial" w:hAnsi="Arial" w:cs="Arial"/>
        </w:rPr>
      </w:pPr>
    </w:p>
    <w:p w:rsidR="001300FC" w:rsidRDefault="001300FC" w:rsidP="007D6713">
      <w:pPr>
        <w:spacing w:before="100" w:after="100" w:line="240" w:lineRule="auto"/>
        <w:ind w:left="708"/>
        <w:jc w:val="both"/>
        <w:rPr>
          <w:rFonts w:ascii="Arial" w:hAnsi="Arial" w:cs="Arial"/>
        </w:rPr>
      </w:pPr>
    </w:p>
    <w:p w:rsidR="009D51A8" w:rsidRDefault="009D51A8" w:rsidP="00500AB3">
      <w:pPr>
        <w:pStyle w:val="Heading1"/>
        <w:ind w:left="680" w:hanging="680"/>
        <w:rPr>
          <w:rFonts w:cs="Arial"/>
        </w:rPr>
      </w:pPr>
      <w:r>
        <w:rPr>
          <w:rFonts w:cs="Arial"/>
        </w:rPr>
        <w:br w:type="page"/>
      </w:r>
    </w:p>
    <w:p w:rsidR="004D11E2" w:rsidRPr="00D45DBA" w:rsidRDefault="00BA3212" w:rsidP="001300FC">
      <w:pPr>
        <w:pStyle w:val="Heading1"/>
        <w:rPr>
          <w:rFonts w:eastAsia="Calibri"/>
        </w:rPr>
      </w:pPr>
      <w:bookmarkStart w:id="15" w:name="_Toc395790998"/>
      <w:r>
        <w:rPr>
          <w:rFonts w:eastAsia="Calibri"/>
        </w:rPr>
        <w:lastRenderedPageBreak/>
        <w:t xml:space="preserve">Fylgiskjal </w:t>
      </w:r>
      <w:r w:rsidR="006A4896">
        <w:rPr>
          <w:rFonts w:eastAsia="Calibri"/>
        </w:rPr>
        <w:t>I</w:t>
      </w:r>
      <w:r w:rsidR="009019E7">
        <w:rPr>
          <w:rFonts w:eastAsia="Calibri"/>
        </w:rPr>
        <w:t>II</w:t>
      </w:r>
      <w:r>
        <w:rPr>
          <w:rFonts w:eastAsia="Calibri"/>
        </w:rPr>
        <w:t xml:space="preserve">: </w:t>
      </w:r>
      <w:r w:rsidR="00D45DBA" w:rsidRPr="00D45DBA">
        <w:rPr>
          <w:rFonts w:eastAsia="Calibri"/>
        </w:rPr>
        <w:t>Viðræðuáætlun</w:t>
      </w:r>
      <w:bookmarkEnd w:id="15"/>
    </w:p>
    <w:p w:rsidR="004D68A8" w:rsidRPr="001300FC" w:rsidRDefault="004D68A8" w:rsidP="001300FC">
      <w:pPr>
        <w:spacing w:before="240" w:after="120"/>
        <w:ind w:left="709"/>
        <w:jc w:val="both"/>
        <w:rPr>
          <w:rFonts w:ascii="Arial" w:hAnsi="Arial" w:cs="Arial"/>
          <w:b/>
          <w:color w:val="17365D" w:themeColor="text2" w:themeShade="BF"/>
        </w:rPr>
      </w:pPr>
      <w:r w:rsidRPr="001300FC">
        <w:rPr>
          <w:rFonts w:ascii="Arial" w:hAnsi="Arial" w:cs="Arial"/>
          <w:b/>
          <w:color w:val="17365D" w:themeColor="text2" w:themeShade="BF"/>
        </w:rPr>
        <w:t>Fyrirkomulag kjaraviðræðna</w:t>
      </w:r>
    </w:p>
    <w:p w:rsidR="004D68A8" w:rsidRPr="000B7DAD" w:rsidRDefault="004D68A8" w:rsidP="001300FC">
      <w:pPr>
        <w:spacing w:after="120"/>
        <w:ind w:left="709"/>
        <w:jc w:val="both"/>
        <w:rPr>
          <w:rFonts w:ascii="Arial" w:eastAsia="Calibri" w:hAnsi="Arial" w:cs="Times New Roman"/>
        </w:rPr>
      </w:pPr>
      <w:r w:rsidRPr="000B7DAD">
        <w:rPr>
          <w:rFonts w:ascii="Arial" w:eastAsia="Calibri" w:hAnsi="Arial" w:cs="Times New Roman"/>
        </w:rPr>
        <w:t xml:space="preserve">Þegar kröfur liggja fyrir geri aðilar tímasetta áætlun um innihald og framgang viðræðna. Einnig komi samningsaðilar sér saman um hvort einstök mál verði rædd af sameiginlegri viðræðunefnd  eða beint við </w:t>
      </w:r>
      <w:r w:rsidR="005A4420">
        <w:rPr>
          <w:rFonts w:ascii="Arial" w:eastAsia="Calibri" w:hAnsi="Arial" w:cs="Times New Roman"/>
        </w:rPr>
        <w:t>stéttarfélagið</w:t>
      </w:r>
      <w:r w:rsidRPr="000B7DAD">
        <w:rPr>
          <w:rFonts w:ascii="Arial" w:eastAsia="Calibri" w:hAnsi="Arial" w:cs="Times New Roman"/>
        </w:rPr>
        <w:t xml:space="preserve">. </w:t>
      </w:r>
    </w:p>
    <w:p w:rsidR="004D68A8" w:rsidRDefault="004D68A8" w:rsidP="001300FC">
      <w:pPr>
        <w:spacing w:after="120"/>
        <w:ind w:left="709"/>
        <w:jc w:val="both"/>
        <w:rPr>
          <w:rFonts w:ascii="Arial" w:eastAsia="Calibri" w:hAnsi="Arial" w:cs="Times New Roman"/>
        </w:rPr>
      </w:pPr>
      <w:r w:rsidRPr="000B7DAD">
        <w:rPr>
          <w:rFonts w:ascii="Arial" w:eastAsia="Calibri" w:hAnsi="Arial" w:cs="Times New Roman"/>
        </w:rPr>
        <w:t>Fundi skal að jafnaði halda í húsakynnum ríkissáttasemjara nema samkomulag verði um annað. Fundir verði skráðir sem og efni þeirra.</w:t>
      </w:r>
    </w:p>
    <w:p w:rsidR="004D68A8" w:rsidRPr="001300FC" w:rsidRDefault="004D68A8" w:rsidP="004D68A8">
      <w:pPr>
        <w:pStyle w:val="ListParagraph"/>
        <w:numPr>
          <w:ilvl w:val="0"/>
          <w:numId w:val="15"/>
        </w:numPr>
        <w:ind w:left="1068"/>
        <w:jc w:val="both"/>
        <w:rPr>
          <w:rFonts w:ascii="Arial" w:hAnsi="Arial" w:cs="Arial"/>
          <w:b/>
          <w:color w:val="17365D" w:themeColor="text2" w:themeShade="BF"/>
        </w:rPr>
      </w:pPr>
      <w:r w:rsidRPr="001300FC">
        <w:rPr>
          <w:rFonts w:ascii="Arial" w:hAnsi="Arial" w:cs="Arial"/>
          <w:b/>
          <w:color w:val="17365D" w:themeColor="text2" w:themeShade="BF"/>
        </w:rPr>
        <w:t xml:space="preserve">Sameiginleg mál </w:t>
      </w:r>
    </w:p>
    <w:p w:rsidR="004D68A8" w:rsidRPr="000B7DAD" w:rsidRDefault="004D68A8" w:rsidP="00A27A4E">
      <w:pPr>
        <w:spacing w:after="0"/>
        <w:ind w:left="1056"/>
        <w:jc w:val="both"/>
        <w:rPr>
          <w:rFonts w:ascii="Arial" w:eastAsia="Calibri" w:hAnsi="Arial" w:cs="Times New Roman"/>
        </w:rPr>
      </w:pPr>
      <w:r w:rsidRPr="000B7DAD">
        <w:rPr>
          <w:rFonts w:ascii="Arial" w:eastAsia="Calibri" w:hAnsi="Arial" w:cs="Times New Roman"/>
        </w:rPr>
        <w:t xml:space="preserve">Sameiginleg viðræðunefnd ræði mál </w:t>
      </w:r>
      <w:r>
        <w:rPr>
          <w:rFonts w:ascii="Arial" w:eastAsia="Calibri" w:hAnsi="Arial" w:cs="Times New Roman"/>
        </w:rPr>
        <w:t>er varða hagsmuni allra stéttar</w:t>
      </w:r>
      <w:r w:rsidRPr="000B7DAD">
        <w:rPr>
          <w:rFonts w:ascii="Arial" w:eastAsia="Calibri" w:hAnsi="Arial" w:cs="Times New Roman"/>
        </w:rPr>
        <w:t>félaganna sem ekki verða með góðu móti rædd við félögin hvert í sínu lagi s.s. um</w:t>
      </w:r>
      <w:r w:rsidR="00137C0D">
        <w:rPr>
          <w:rFonts w:ascii="Arial" w:eastAsia="Calibri" w:hAnsi="Arial" w:cs="Times New Roman"/>
        </w:rPr>
        <w:t xml:space="preserve"> starfsmat, tengitöflu,</w:t>
      </w:r>
      <w:r w:rsidRPr="000B7DAD">
        <w:rPr>
          <w:rFonts w:ascii="Arial" w:eastAsia="Calibri" w:hAnsi="Arial" w:cs="Times New Roman"/>
        </w:rPr>
        <w:t xml:space="preserve"> launatöflu og önnur atriði sem samræmd eru milli kjarasamninganna.</w:t>
      </w:r>
    </w:p>
    <w:p w:rsidR="004D68A8" w:rsidRDefault="004D68A8" w:rsidP="00A27A4E">
      <w:pPr>
        <w:spacing w:after="240"/>
        <w:ind w:left="1055"/>
        <w:jc w:val="both"/>
        <w:rPr>
          <w:rFonts w:ascii="Arial" w:eastAsia="Calibri" w:hAnsi="Arial" w:cs="Times New Roman"/>
        </w:rPr>
      </w:pPr>
      <w:r w:rsidRPr="000B7DAD">
        <w:rPr>
          <w:rFonts w:ascii="Arial" w:eastAsia="Calibri" w:hAnsi="Arial" w:cs="Times New Roman"/>
        </w:rPr>
        <w:t>Nefndin verði skipuð sex fulltrúum frá Sambandi íslenskra sveitarfélaga, fjórum fulltrúum frá BSRB og tveimur frá ASÍ. Kröfur komi fram fyrir lok janúar 2015.</w:t>
      </w:r>
    </w:p>
    <w:p w:rsidR="004D68A8" w:rsidRPr="001300FC" w:rsidRDefault="004D68A8" w:rsidP="004D68A8">
      <w:pPr>
        <w:pStyle w:val="ListParagraph"/>
        <w:numPr>
          <w:ilvl w:val="0"/>
          <w:numId w:val="15"/>
        </w:numPr>
        <w:ind w:left="1068"/>
        <w:jc w:val="both"/>
        <w:rPr>
          <w:rFonts w:ascii="Arial" w:hAnsi="Arial" w:cs="Arial"/>
          <w:b/>
          <w:color w:val="17365D" w:themeColor="text2" w:themeShade="BF"/>
        </w:rPr>
      </w:pPr>
      <w:r w:rsidRPr="001300FC">
        <w:rPr>
          <w:rFonts w:ascii="Arial" w:hAnsi="Arial" w:cs="Arial"/>
          <w:b/>
          <w:color w:val="17365D" w:themeColor="text2" w:themeShade="BF"/>
        </w:rPr>
        <w:t xml:space="preserve">Sérmál </w:t>
      </w:r>
    </w:p>
    <w:p w:rsidR="004D68A8" w:rsidRPr="000B7DAD" w:rsidRDefault="00A27A4E" w:rsidP="004D68A8">
      <w:pPr>
        <w:spacing w:after="0"/>
        <w:ind w:left="1056"/>
        <w:jc w:val="both"/>
        <w:rPr>
          <w:rFonts w:ascii="Arial" w:eastAsia="Calibri" w:hAnsi="Arial" w:cs="Times New Roman"/>
        </w:rPr>
      </w:pPr>
      <w:r w:rsidRPr="00A27A4E">
        <w:rPr>
          <w:rFonts w:ascii="Arial" w:eastAsia="Calibri" w:hAnsi="Arial" w:cs="Times New Roman"/>
        </w:rPr>
        <w:t>Samninganefnd sambands íslenskra</w:t>
      </w:r>
      <w:r>
        <w:rPr>
          <w:rFonts w:ascii="Arial" w:eastAsia="Calibri" w:hAnsi="Arial" w:cs="Times New Roman"/>
        </w:rPr>
        <w:t xml:space="preserve"> sveitarfélaga</w:t>
      </w:r>
      <w:r w:rsidR="004D68A8" w:rsidRPr="000B7DAD">
        <w:rPr>
          <w:rFonts w:ascii="Arial" w:eastAsia="Calibri" w:hAnsi="Arial" w:cs="Times New Roman"/>
        </w:rPr>
        <w:t xml:space="preserve"> mun taka upp viðræður við einstök stéttarfél</w:t>
      </w:r>
      <w:r w:rsidR="0032194E">
        <w:rPr>
          <w:rFonts w:ascii="Arial" w:eastAsia="Calibri" w:hAnsi="Arial" w:cs="Times New Roman"/>
        </w:rPr>
        <w:t>ög</w:t>
      </w:r>
      <w:r w:rsidR="004D68A8" w:rsidRPr="000B7DAD">
        <w:rPr>
          <w:rFonts w:ascii="Arial" w:eastAsia="Calibri" w:hAnsi="Arial" w:cs="Times New Roman"/>
        </w:rPr>
        <w:t xml:space="preserve"> um málefni er varða þau sérstaklega og ekki eru á borði sameiginlegrar viðræðunefndar. Kröfur komi fram fyrir lok janúar 2015.</w:t>
      </w:r>
    </w:p>
    <w:p w:rsidR="004D11E2" w:rsidRPr="001300FC" w:rsidRDefault="004D11E2" w:rsidP="001300FC">
      <w:pPr>
        <w:spacing w:before="240" w:after="120"/>
        <w:ind w:left="709"/>
        <w:jc w:val="both"/>
        <w:rPr>
          <w:rFonts w:ascii="Arial" w:hAnsi="Arial" w:cs="Arial"/>
          <w:b/>
          <w:color w:val="17365D" w:themeColor="text2" w:themeShade="BF"/>
        </w:rPr>
      </w:pPr>
      <w:r w:rsidRPr="001300FC">
        <w:rPr>
          <w:rFonts w:ascii="Arial" w:hAnsi="Arial" w:cs="Arial"/>
          <w:b/>
          <w:color w:val="17365D" w:themeColor="text2" w:themeShade="BF"/>
        </w:rPr>
        <w:t xml:space="preserve">Framgangur í starfi </w:t>
      </w:r>
    </w:p>
    <w:p w:rsidR="004D11E2" w:rsidRPr="003D5935" w:rsidRDefault="00A27A4E" w:rsidP="004D11E2">
      <w:pPr>
        <w:spacing w:after="0"/>
        <w:ind w:left="708"/>
        <w:jc w:val="both"/>
        <w:rPr>
          <w:rFonts w:ascii="Arial" w:eastAsia="Calibri" w:hAnsi="Arial" w:cs="Times New Roman"/>
        </w:rPr>
      </w:pPr>
      <w:r>
        <w:rPr>
          <w:rFonts w:ascii="Arial" w:eastAsia="Calibri" w:hAnsi="Arial" w:cs="Times New Roman"/>
        </w:rPr>
        <w:t xml:space="preserve">Aðilar eru </w:t>
      </w:r>
      <w:r w:rsidR="004D11E2" w:rsidRPr="003D5935">
        <w:rPr>
          <w:rFonts w:ascii="Arial" w:eastAsia="Calibri" w:hAnsi="Arial" w:cs="Times New Roman"/>
        </w:rPr>
        <w:t>sammála um að vinna að nánari útfærslu á gr. 10.2.3 með það að markmiði að hún nái einnig til skilgreinds starfstengds náms á vegum fræðsluaðila, sem hafa hlotið viðurkenningu samkvæmt lögum um framhaldsfræðslu nr. 27/2010 og eftir at</w:t>
      </w:r>
      <w:r w:rsidR="004C4744">
        <w:rPr>
          <w:rFonts w:ascii="Arial" w:eastAsia="Calibri" w:hAnsi="Arial" w:cs="Times New Roman"/>
        </w:rPr>
        <w:t>vi</w:t>
      </w:r>
      <w:r w:rsidR="004D11E2" w:rsidRPr="003D5935">
        <w:rPr>
          <w:rFonts w:ascii="Arial" w:eastAsia="Calibri" w:hAnsi="Arial" w:cs="Times New Roman"/>
        </w:rPr>
        <w:t>ku</w:t>
      </w:r>
      <w:r w:rsidR="004C4744">
        <w:rPr>
          <w:rFonts w:ascii="Arial" w:eastAsia="Calibri" w:hAnsi="Arial" w:cs="Times New Roman"/>
        </w:rPr>
        <w:t>m</w:t>
      </w:r>
      <w:r w:rsidR="004D11E2" w:rsidRPr="003D5935">
        <w:rPr>
          <w:rFonts w:ascii="Arial" w:eastAsia="Calibri" w:hAnsi="Arial" w:cs="Times New Roman"/>
        </w:rPr>
        <w:t xml:space="preserve"> öðrum lögum. Skipuð verði sameiginleg sex manna nefnd aðila, tveimur fulltrúum frá BSRB, einum frá ASÍ og þremur frá SNS</w:t>
      </w:r>
      <w:r w:rsidR="004D11E2">
        <w:rPr>
          <w:rFonts w:ascii="Arial" w:eastAsia="Calibri" w:hAnsi="Arial" w:cs="Times New Roman"/>
        </w:rPr>
        <w:t>,</w:t>
      </w:r>
      <w:r w:rsidR="004D11E2" w:rsidRPr="003D5935">
        <w:rPr>
          <w:rFonts w:ascii="Arial" w:eastAsia="Calibri" w:hAnsi="Arial" w:cs="Times New Roman"/>
        </w:rPr>
        <w:t xml:space="preserve"> sem hefur það hlutverk að meta námsleiðir og úrskurða hvort námið og fræðsla fellur undir ákvæði samnings þessa. Aðilar skulu skilgreina hvaða starfstengdu námsbrautir geta fallið hér undir og skal þeirri vinnu lokið í síðasta lagi 30. apríl 2015. Þar verði einnig skoðað með hvaða hætti hægt væri að meta framhaldsnám í viðurkenndum starfsgreinum. </w:t>
      </w:r>
    </w:p>
    <w:p w:rsidR="004D11E2" w:rsidRPr="001300FC" w:rsidRDefault="004C4744" w:rsidP="001300FC">
      <w:pPr>
        <w:spacing w:before="240" w:after="120"/>
        <w:ind w:left="709"/>
        <w:jc w:val="both"/>
        <w:rPr>
          <w:rFonts w:ascii="Arial" w:hAnsi="Arial" w:cs="Arial"/>
          <w:b/>
          <w:color w:val="17365D" w:themeColor="text2" w:themeShade="BF"/>
        </w:rPr>
      </w:pPr>
      <w:r w:rsidRPr="001300FC">
        <w:rPr>
          <w:rFonts w:ascii="Arial" w:hAnsi="Arial" w:cs="Arial"/>
          <w:b/>
          <w:color w:val="17365D" w:themeColor="text2" w:themeShade="BF"/>
        </w:rPr>
        <w:t>Leiðrétting launatöflu</w:t>
      </w:r>
      <w:r w:rsidR="004D11E2" w:rsidRPr="001300FC">
        <w:rPr>
          <w:rFonts w:ascii="Arial" w:hAnsi="Arial" w:cs="Arial"/>
          <w:b/>
          <w:color w:val="17365D" w:themeColor="text2" w:themeShade="BF"/>
        </w:rPr>
        <w:t xml:space="preserve"> </w:t>
      </w:r>
      <w:r w:rsidR="007A60FF" w:rsidRPr="001300FC">
        <w:rPr>
          <w:rFonts w:ascii="Arial" w:hAnsi="Arial" w:cs="Arial"/>
          <w:b/>
          <w:color w:val="17365D" w:themeColor="text2" w:themeShade="BF"/>
        </w:rPr>
        <w:t>og tengitöflu</w:t>
      </w:r>
    </w:p>
    <w:p w:rsidR="004D11E2" w:rsidRPr="003D5935" w:rsidRDefault="004D11E2" w:rsidP="004D11E2">
      <w:pPr>
        <w:spacing w:after="0"/>
        <w:ind w:left="708"/>
        <w:jc w:val="both"/>
        <w:rPr>
          <w:rFonts w:ascii="Arial" w:eastAsia="Calibri" w:hAnsi="Arial" w:cs="Times New Roman"/>
        </w:rPr>
      </w:pPr>
      <w:r w:rsidRPr="003D5935">
        <w:rPr>
          <w:rFonts w:ascii="Arial" w:eastAsia="Calibri" w:hAnsi="Arial" w:cs="Times New Roman"/>
        </w:rPr>
        <w:t>Aðilar eru sammála um að áfram verði unnið að lagfæringu á launatöflunni og tengingu hennar við starfsmat svo að stigabil verði sem jafnast. Fyrir lok september 2014 ver</w:t>
      </w:r>
      <w:r w:rsidR="007A60FF">
        <w:rPr>
          <w:rFonts w:ascii="Arial" w:eastAsia="Calibri" w:hAnsi="Arial" w:cs="Times New Roman"/>
        </w:rPr>
        <w:t xml:space="preserve">ði hafnar viðræður um </w:t>
      </w:r>
      <w:r w:rsidRPr="003D5935">
        <w:rPr>
          <w:rFonts w:ascii="Arial" w:eastAsia="Calibri" w:hAnsi="Arial" w:cs="Times New Roman"/>
        </w:rPr>
        <w:t xml:space="preserve">útfærslur á launatöflu og tengitöflu sem taki gildi við upphaf næsta kjarasamnings aðila. </w:t>
      </w:r>
    </w:p>
    <w:p w:rsidR="004D11E2" w:rsidRPr="001300FC" w:rsidRDefault="004D11E2" w:rsidP="001300FC">
      <w:pPr>
        <w:spacing w:before="240" w:after="120"/>
        <w:ind w:left="709"/>
        <w:jc w:val="both"/>
        <w:rPr>
          <w:rFonts w:ascii="Arial" w:hAnsi="Arial" w:cs="Arial"/>
          <w:b/>
          <w:color w:val="17365D" w:themeColor="text2" w:themeShade="BF"/>
        </w:rPr>
      </w:pPr>
      <w:r w:rsidRPr="001300FC">
        <w:rPr>
          <w:rFonts w:ascii="Arial" w:hAnsi="Arial" w:cs="Arial"/>
          <w:b/>
          <w:color w:val="17365D" w:themeColor="text2" w:themeShade="BF"/>
        </w:rPr>
        <w:t xml:space="preserve">Fatamál starfsmanna </w:t>
      </w:r>
    </w:p>
    <w:p w:rsidR="004D11E2" w:rsidRPr="003D5935" w:rsidRDefault="004D11E2" w:rsidP="004D11E2">
      <w:pPr>
        <w:spacing w:after="0"/>
        <w:ind w:left="708"/>
        <w:jc w:val="both"/>
        <w:rPr>
          <w:rFonts w:ascii="Arial" w:eastAsia="Calibri" w:hAnsi="Arial" w:cs="Times New Roman"/>
        </w:rPr>
      </w:pPr>
      <w:r w:rsidRPr="003D5935">
        <w:rPr>
          <w:rFonts w:ascii="Arial" w:eastAsia="Calibri" w:hAnsi="Arial" w:cs="Times New Roman"/>
        </w:rPr>
        <w:t>Aðilar eru sammála um að skipa nefnd til að fara yfir fatamál starfsmanna sem komi með tillögur um að heimilt verða að greiða fyrir fatnað að hluta í stað fatnaðar sem um getur í grein 8.2.5, einkum hjá starfsmönnum skóla.</w:t>
      </w:r>
    </w:p>
    <w:p w:rsidR="004D11E2" w:rsidRPr="003D5935" w:rsidRDefault="004D11E2" w:rsidP="004D11E2">
      <w:pPr>
        <w:spacing w:before="240" w:after="0"/>
        <w:ind w:left="708"/>
        <w:jc w:val="both"/>
        <w:rPr>
          <w:rFonts w:ascii="Arial" w:eastAsia="Calibri" w:hAnsi="Arial" w:cs="Times New Roman"/>
        </w:rPr>
      </w:pPr>
      <w:r w:rsidRPr="003D5935">
        <w:rPr>
          <w:rFonts w:ascii="Arial" w:eastAsia="Calibri" w:hAnsi="Arial" w:cs="Times New Roman"/>
        </w:rPr>
        <w:t>Nefndin skal skipuð sex aðilum, tveimur fulltrúum frá BSRB, einum frá ASÍ og þremur frá SNS.</w:t>
      </w:r>
      <w:r w:rsidR="004C4744">
        <w:rPr>
          <w:rFonts w:ascii="Arial" w:eastAsia="Calibri" w:hAnsi="Arial" w:cs="Times New Roman"/>
        </w:rPr>
        <w:t xml:space="preserve"> Nefndin skal skila niðurstöðum sínum fyrir lok nóvember</w:t>
      </w:r>
      <w:r w:rsidR="00A27A4E">
        <w:rPr>
          <w:rFonts w:ascii="Arial" w:eastAsia="Calibri" w:hAnsi="Arial" w:cs="Times New Roman"/>
        </w:rPr>
        <w:t xml:space="preserve"> 2014</w:t>
      </w:r>
      <w:r w:rsidR="004C4744">
        <w:rPr>
          <w:rFonts w:ascii="Arial" w:eastAsia="Calibri" w:hAnsi="Arial" w:cs="Times New Roman"/>
        </w:rPr>
        <w:t>.</w:t>
      </w:r>
    </w:p>
    <w:p w:rsidR="004D11E2" w:rsidRPr="001300FC" w:rsidRDefault="004D11E2" w:rsidP="001300FC">
      <w:pPr>
        <w:spacing w:before="240" w:after="120"/>
        <w:ind w:left="709"/>
        <w:jc w:val="both"/>
        <w:rPr>
          <w:rFonts w:ascii="Arial" w:hAnsi="Arial" w:cs="Arial"/>
          <w:b/>
          <w:color w:val="17365D" w:themeColor="text2" w:themeShade="BF"/>
        </w:rPr>
      </w:pPr>
      <w:r w:rsidRPr="001300FC">
        <w:rPr>
          <w:rFonts w:ascii="Arial" w:hAnsi="Arial" w:cs="Arial"/>
          <w:b/>
          <w:color w:val="17365D" w:themeColor="text2" w:themeShade="BF"/>
        </w:rPr>
        <w:lastRenderedPageBreak/>
        <w:t>Endurskoðun viðræðuáætlunar</w:t>
      </w:r>
    </w:p>
    <w:p w:rsidR="004D11E2" w:rsidRPr="000B7DAD" w:rsidRDefault="004D11E2" w:rsidP="004D11E2">
      <w:pPr>
        <w:spacing w:after="0"/>
        <w:ind w:left="708"/>
        <w:jc w:val="both"/>
        <w:rPr>
          <w:rFonts w:ascii="Arial" w:eastAsia="Calibri" w:hAnsi="Arial" w:cs="Times New Roman"/>
        </w:rPr>
      </w:pPr>
      <w:r w:rsidRPr="000B7DAD">
        <w:rPr>
          <w:rFonts w:ascii="Arial" w:eastAsia="Calibri" w:hAnsi="Arial" w:cs="Times New Roman"/>
        </w:rPr>
        <w:t xml:space="preserve">Fyrir lok </w:t>
      </w:r>
      <w:r>
        <w:rPr>
          <w:rFonts w:ascii="Arial" w:eastAsia="Calibri" w:hAnsi="Arial" w:cs="Times New Roman"/>
        </w:rPr>
        <w:t>mars</w:t>
      </w:r>
      <w:r w:rsidRPr="000B7DAD">
        <w:rPr>
          <w:rFonts w:ascii="Arial" w:eastAsia="Calibri" w:hAnsi="Arial" w:cs="Times New Roman"/>
        </w:rPr>
        <w:t xml:space="preserve"> 2015 skulu aðilar meta stöðu viðræðna og þörf fyrir endurskoðun viðræðuáætlunar. Þar skal tekin afstaða til þess hvort óskað er milligöngu ríkissáttasemjara skv. 1. mgr. 24.gr. laga nr. 80/1938.</w:t>
      </w:r>
      <w:r w:rsidR="00FB79B5">
        <w:rPr>
          <w:rFonts w:ascii="Arial" w:eastAsia="Calibri" w:hAnsi="Arial" w:cs="Times New Roman"/>
        </w:rPr>
        <w:t xml:space="preserve">  </w:t>
      </w:r>
    </w:p>
    <w:sectPr w:rsidR="004D11E2" w:rsidRPr="000B7DAD" w:rsidSect="00BA3212">
      <w:headerReference w:type="default" r:id="rId12"/>
      <w:footerReference w:type="default" r:id="rId1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5DE" w:rsidRDefault="003705DE" w:rsidP="00CF1581">
      <w:pPr>
        <w:spacing w:after="0" w:line="240" w:lineRule="auto"/>
      </w:pPr>
      <w:r>
        <w:separator/>
      </w:r>
    </w:p>
  </w:endnote>
  <w:endnote w:type="continuationSeparator" w:id="0">
    <w:p w:rsidR="003705DE" w:rsidRDefault="003705DE" w:rsidP="00CF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93782"/>
      <w:docPartObj>
        <w:docPartGallery w:val="Page Numbers (Bottom of Page)"/>
        <w:docPartUnique/>
      </w:docPartObj>
    </w:sdtPr>
    <w:sdtEndPr>
      <w:rPr>
        <w:noProof/>
      </w:rPr>
    </w:sdtEndPr>
    <w:sdtContent>
      <w:p w:rsidR="00BA3212" w:rsidRPr="00BA3212" w:rsidRDefault="003E42C5" w:rsidP="00BA3212">
        <w:pPr>
          <w:pStyle w:val="Footer"/>
          <w:rPr>
            <w:rFonts w:ascii="Arial" w:hAnsi="Arial" w:cs="Arial"/>
            <w:sz w:val="18"/>
            <w:szCs w:val="18"/>
          </w:rPr>
        </w:pPr>
        <w:r>
          <w:t>MATVÍS</w:t>
        </w:r>
        <w:r w:rsidR="00BA3212" w:rsidRPr="00BA3212">
          <w:rPr>
            <w:rFonts w:ascii="Arial" w:hAnsi="Arial" w:cs="Arial"/>
            <w:sz w:val="18"/>
            <w:szCs w:val="18"/>
          </w:rPr>
          <w:tab/>
        </w:r>
        <w:r w:rsidR="00BA3212" w:rsidRPr="00BA3212">
          <w:rPr>
            <w:rFonts w:ascii="Arial" w:hAnsi="Arial" w:cs="Arial"/>
            <w:sz w:val="18"/>
            <w:szCs w:val="18"/>
          </w:rPr>
          <w:tab/>
          <w:t>SAMBAND ÍSLENSKRA SVEITARFÉLAGA</w:t>
        </w:r>
      </w:p>
      <w:p w:rsidR="00E0538E" w:rsidRDefault="00E0538E">
        <w:pPr>
          <w:pStyle w:val="Footer"/>
          <w:jc w:val="center"/>
        </w:pPr>
        <w:r>
          <w:fldChar w:fldCharType="begin"/>
        </w:r>
        <w:r>
          <w:instrText xml:space="preserve"> PAGE   \* MERGEFORMAT </w:instrText>
        </w:r>
        <w:r>
          <w:fldChar w:fldCharType="separate"/>
        </w:r>
        <w:r w:rsidR="00720A83">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5DE" w:rsidRDefault="003705DE" w:rsidP="00CF1581">
      <w:pPr>
        <w:spacing w:after="0" w:line="240" w:lineRule="auto"/>
      </w:pPr>
      <w:r>
        <w:separator/>
      </w:r>
    </w:p>
  </w:footnote>
  <w:footnote w:type="continuationSeparator" w:id="0">
    <w:p w:rsidR="003705DE" w:rsidRDefault="003705DE" w:rsidP="00CF1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2" w:rsidRPr="00BA3212" w:rsidRDefault="00357AE4" w:rsidP="00BA3212">
    <w:pPr>
      <w:tabs>
        <w:tab w:val="center" w:pos="4536"/>
        <w:tab w:val="right" w:pos="9072"/>
      </w:tabs>
      <w:spacing w:after="0" w:line="240" w:lineRule="auto"/>
      <w:jc w:val="right"/>
      <w:rPr>
        <w:rFonts w:ascii="Arial" w:hAnsi="Arial" w:cs="Arial"/>
        <w:sz w:val="18"/>
        <w:szCs w:val="18"/>
      </w:rPr>
    </w:pPr>
    <w:r>
      <w:rPr>
        <w:rFonts w:ascii="Arial" w:hAnsi="Arial" w:cs="Arial"/>
        <w:sz w:val="18"/>
        <w:szCs w:val="18"/>
      </w:rPr>
      <w:t>GILDISTÍM</w:t>
    </w:r>
    <w:r w:rsidR="00BA3212">
      <w:rPr>
        <w:rFonts w:ascii="Arial" w:hAnsi="Arial" w:cs="Arial"/>
        <w:sz w:val="18"/>
        <w:szCs w:val="18"/>
      </w:rPr>
      <w:t>:</w:t>
    </w:r>
    <w:r>
      <w:rPr>
        <w:rFonts w:ascii="Arial" w:hAnsi="Arial" w:cs="Arial"/>
        <w:sz w:val="18"/>
        <w:szCs w:val="18"/>
      </w:rPr>
      <w:t xml:space="preserve"> 1.</w:t>
    </w:r>
    <w:r w:rsidR="00EE657D">
      <w:rPr>
        <w:rFonts w:ascii="Arial" w:hAnsi="Arial" w:cs="Arial"/>
        <w:sz w:val="18"/>
        <w:szCs w:val="18"/>
      </w:rPr>
      <w:t xml:space="preserve"> maí</w:t>
    </w:r>
    <w:r w:rsidR="00BA3212">
      <w:rPr>
        <w:rFonts w:ascii="Arial" w:hAnsi="Arial" w:cs="Arial"/>
        <w:sz w:val="18"/>
        <w:szCs w:val="18"/>
      </w:rPr>
      <w:t xml:space="preserve">  2014 til 30. apríl</w:t>
    </w:r>
    <w:r w:rsidR="00BA3212" w:rsidRPr="00BA3212">
      <w:rPr>
        <w:rFonts w:ascii="Arial" w:hAnsi="Arial" w:cs="Arial"/>
        <w:sz w:val="18"/>
        <w:szCs w:val="18"/>
      </w:rPr>
      <w:t xml:space="preserve"> 2015</w:t>
    </w:r>
  </w:p>
  <w:p w:rsidR="00BA3212" w:rsidRDefault="00BA3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74B"/>
    <w:multiLevelType w:val="hybridMultilevel"/>
    <w:tmpl w:val="A48409EE"/>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
    <w:nsid w:val="0C676C22"/>
    <w:multiLevelType w:val="hybridMultilevel"/>
    <w:tmpl w:val="A9CEF8D4"/>
    <w:lvl w:ilvl="0" w:tplc="6650678C">
      <w:start w:val="1"/>
      <w:numFmt w:val="decimal"/>
      <w:pStyle w:val="Heading1"/>
      <w:lvlText w:val="%1."/>
      <w:lvlJc w:val="left"/>
      <w:pPr>
        <w:ind w:left="786" w:hanging="360"/>
      </w:pPr>
      <w:rPr>
        <w:b/>
        <w:strike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0F3D3EFE"/>
    <w:multiLevelType w:val="hybridMultilevel"/>
    <w:tmpl w:val="AD0085C4"/>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start w:val="1"/>
      <w:numFmt w:val="bullet"/>
      <w:lvlText w:val="o"/>
      <w:lvlJc w:val="left"/>
      <w:pPr>
        <w:ind w:left="3240" w:hanging="360"/>
      </w:pPr>
      <w:rPr>
        <w:rFonts w:ascii="Courier New" w:hAnsi="Courier New" w:cs="Courier New" w:hint="default"/>
      </w:rPr>
    </w:lvl>
    <w:lvl w:ilvl="5" w:tplc="040F0005">
      <w:start w:val="1"/>
      <w:numFmt w:val="bullet"/>
      <w:lvlText w:val=""/>
      <w:lvlJc w:val="left"/>
      <w:pPr>
        <w:ind w:left="3960" w:hanging="360"/>
      </w:pPr>
      <w:rPr>
        <w:rFonts w:ascii="Wingdings" w:hAnsi="Wingdings" w:hint="default"/>
      </w:rPr>
    </w:lvl>
    <w:lvl w:ilvl="6" w:tplc="040F0001">
      <w:start w:val="1"/>
      <w:numFmt w:val="bullet"/>
      <w:lvlText w:val=""/>
      <w:lvlJc w:val="left"/>
      <w:pPr>
        <w:ind w:left="4680" w:hanging="360"/>
      </w:pPr>
      <w:rPr>
        <w:rFonts w:ascii="Symbol" w:hAnsi="Symbol" w:hint="default"/>
      </w:rPr>
    </w:lvl>
    <w:lvl w:ilvl="7" w:tplc="040F0003">
      <w:start w:val="1"/>
      <w:numFmt w:val="bullet"/>
      <w:lvlText w:val="o"/>
      <w:lvlJc w:val="left"/>
      <w:pPr>
        <w:ind w:left="5400" w:hanging="360"/>
      </w:pPr>
      <w:rPr>
        <w:rFonts w:ascii="Courier New" w:hAnsi="Courier New" w:cs="Courier New" w:hint="default"/>
      </w:rPr>
    </w:lvl>
    <w:lvl w:ilvl="8" w:tplc="040F0005">
      <w:start w:val="1"/>
      <w:numFmt w:val="bullet"/>
      <w:lvlText w:val=""/>
      <w:lvlJc w:val="left"/>
      <w:pPr>
        <w:ind w:left="6120" w:hanging="360"/>
      </w:pPr>
      <w:rPr>
        <w:rFonts w:ascii="Wingdings" w:hAnsi="Wingdings" w:hint="default"/>
      </w:rPr>
    </w:lvl>
  </w:abstractNum>
  <w:abstractNum w:abstractNumId="3">
    <w:nsid w:val="11117ED6"/>
    <w:multiLevelType w:val="hybridMultilevel"/>
    <w:tmpl w:val="4138969C"/>
    <w:lvl w:ilvl="0" w:tplc="040F000F">
      <w:start w:val="1"/>
      <w:numFmt w:val="decimal"/>
      <w:lvlText w:val="%1."/>
      <w:lvlJc w:val="left"/>
      <w:pPr>
        <w:ind w:left="360" w:hanging="360"/>
      </w:pPr>
      <w:rPr>
        <w:rFonts w:hint="default"/>
      </w:r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
    <w:nsid w:val="1DAC0BFB"/>
    <w:multiLevelType w:val="multilevel"/>
    <w:tmpl w:val="8AE642D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74E70"/>
    <w:multiLevelType w:val="hybridMultilevel"/>
    <w:tmpl w:val="BDF0393A"/>
    <w:lvl w:ilvl="0" w:tplc="944819E0">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6">
    <w:nsid w:val="1E5C6AF5"/>
    <w:multiLevelType w:val="hybridMultilevel"/>
    <w:tmpl w:val="FCD2AB30"/>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cs="Courier New" w:hint="default"/>
      </w:rPr>
    </w:lvl>
    <w:lvl w:ilvl="2" w:tplc="040F0005">
      <w:start w:val="1"/>
      <w:numFmt w:val="bullet"/>
      <w:lvlText w:val=""/>
      <w:lvlJc w:val="left"/>
      <w:pPr>
        <w:ind w:left="1800" w:hanging="360"/>
      </w:pPr>
      <w:rPr>
        <w:rFonts w:ascii="Wingdings" w:hAnsi="Wingdings" w:hint="default"/>
      </w:rPr>
    </w:lvl>
    <w:lvl w:ilvl="3" w:tplc="040F0001">
      <w:start w:val="1"/>
      <w:numFmt w:val="bullet"/>
      <w:lvlText w:val=""/>
      <w:lvlJc w:val="left"/>
      <w:pPr>
        <w:ind w:left="2520" w:hanging="360"/>
      </w:pPr>
      <w:rPr>
        <w:rFonts w:ascii="Symbol" w:hAnsi="Symbol" w:hint="default"/>
      </w:rPr>
    </w:lvl>
    <w:lvl w:ilvl="4" w:tplc="040F0003">
      <w:start w:val="1"/>
      <w:numFmt w:val="bullet"/>
      <w:lvlText w:val="o"/>
      <w:lvlJc w:val="left"/>
      <w:pPr>
        <w:ind w:left="3240" w:hanging="360"/>
      </w:pPr>
      <w:rPr>
        <w:rFonts w:ascii="Courier New" w:hAnsi="Courier New" w:cs="Courier New" w:hint="default"/>
      </w:rPr>
    </w:lvl>
    <w:lvl w:ilvl="5" w:tplc="040F0005">
      <w:start w:val="1"/>
      <w:numFmt w:val="bullet"/>
      <w:lvlText w:val=""/>
      <w:lvlJc w:val="left"/>
      <w:pPr>
        <w:ind w:left="3960" w:hanging="360"/>
      </w:pPr>
      <w:rPr>
        <w:rFonts w:ascii="Wingdings" w:hAnsi="Wingdings" w:hint="default"/>
      </w:rPr>
    </w:lvl>
    <w:lvl w:ilvl="6" w:tplc="040F0001">
      <w:start w:val="1"/>
      <w:numFmt w:val="bullet"/>
      <w:lvlText w:val=""/>
      <w:lvlJc w:val="left"/>
      <w:pPr>
        <w:ind w:left="4680" w:hanging="360"/>
      </w:pPr>
      <w:rPr>
        <w:rFonts w:ascii="Symbol" w:hAnsi="Symbol" w:hint="default"/>
      </w:rPr>
    </w:lvl>
    <w:lvl w:ilvl="7" w:tplc="040F0003">
      <w:start w:val="1"/>
      <w:numFmt w:val="bullet"/>
      <w:lvlText w:val="o"/>
      <w:lvlJc w:val="left"/>
      <w:pPr>
        <w:ind w:left="5400" w:hanging="360"/>
      </w:pPr>
      <w:rPr>
        <w:rFonts w:ascii="Courier New" w:hAnsi="Courier New" w:cs="Courier New" w:hint="default"/>
      </w:rPr>
    </w:lvl>
    <w:lvl w:ilvl="8" w:tplc="040F0005">
      <w:start w:val="1"/>
      <w:numFmt w:val="bullet"/>
      <w:lvlText w:val=""/>
      <w:lvlJc w:val="left"/>
      <w:pPr>
        <w:ind w:left="6120" w:hanging="360"/>
      </w:pPr>
      <w:rPr>
        <w:rFonts w:ascii="Wingdings" w:hAnsi="Wingdings" w:hint="default"/>
      </w:rPr>
    </w:lvl>
  </w:abstractNum>
  <w:abstractNum w:abstractNumId="7">
    <w:nsid w:val="1FAC3229"/>
    <w:multiLevelType w:val="hybridMultilevel"/>
    <w:tmpl w:val="2B84BBD2"/>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8">
    <w:nsid w:val="26DD29CB"/>
    <w:multiLevelType w:val="hybridMultilevel"/>
    <w:tmpl w:val="1206C666"/>
    <w:lvl w:ilvl="0" w:tplc="040F0005">
      <w:start w:val="1"/>
      <w:numFmt w:val="bullet"/>
      <w:lvlText w:val=""/>
      <w:lvlJc w:val="left"/>
      <w:pPr>
        <w:ind w:left="1428" w:hanging="360"/>
      </w:pPr>
      <w:rPr>
        <w:rFonts w:ascii="Wingdings" w:hAnsi="Wingdings"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9">
    <w:nsid w:val="2922284B"/>
    <w:multiLevelType w:val="hybridMultilevel"/>
    <w:tmpl w:val="2B84BBD2"/>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0">
    <w:nsid w:val="2AA1130A"/>
    <w:multiLevelType w:val="hybridMultilevel"/>
    <w:tmpl w:val="221E1BE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start w:val="1"/>
      <w:numFmt w:val="bullet"/>
      <w:lvlText w:val=""/>
      <w:lvlJc w:val="left"/>
      <w:pPr>
        <w:ind w:left="2160" w:hanging="360"/>
      </w:pPr>
      <w:rPr>
        <w:rFonts w:ascii="Wingdings" w:hAnsi="Wingdings" w:hint="default"/>
      </w:rPr>
    </w:lvl>
    <w:lvl w:ilvl="3" w:tplc="040F0001">
      <w:start w:val="1"/>
      <w:numFmt w:val="bullet"/>
      <w:lvlText w:val=""/>
      <w:lvlJc w:val="left"/>
      <w:pPr>
        <w:ind w:left="2880" w:hanging="360"/>
      </w:pPr>
      <w:rPr>
        <w:rFonts w:ascii="Symbol" w:hAnsi="Symbol" w:hint="default"/>
      </w:rPr>
    </w:lvl>
    <w:lvl w:ilvl="4" w:tplc="040F0003">
      <w:start w:val="1"/>
      <w:numFmt w:val="bullet"/>
      <w:lvlText w:val="o"/>
      <w:lvlJc w:val="left"/>
      <w:pPr>
        <w:ind w:left="3600" w:hanging="360"/>
      </w:pPr>
      <w:rPr>
        <w:rFonts w:ascii="Courier New" w:hAnsi="Courier New" w:cs="Courier New" w:hint="default"/>
      </w:rPr>
    </w:lvl>
    <w:lvl w:ilvl="5" w:tplc="040F0005">
      <w:start w:val="1"/>
      <w:numFmt w:val="bullet"/>
      <w:lvlText w:val=""/>
      <w:lvlJc w:val="left"/>
      <w:pPr>
        <w:ind w:left="4320" w:hanging="360"/>
      </w:pPr>
      <w:rPr>
        <w:rFonts w:ascii="Wingdings" w:hAnsi="Wingdings" w:hint="default"/>
      </w:rPr>
    </w:lvl>
    <w:lvl w:ilvl="6" w:tplc="040F0001">
      <w:start w:val="1"/>
      <w:numFmt w:val="bullet"/>
      <w:lvlText w:val=""/>
      <w:lvlJc w:val="left"/>
      <w:pPr>
        <w:ind w:left="5040" w:hanging="360"/>
      </w:pPr>
      <w:rPr>
        <w:rFonts w:ascii="Symbol" w:hAnsi="Symbol" w:hint="default"/>
      </w:rPr>
    </w:lvl>
    <w:lvl w:ilvl="7" w:tplc="040F0003">
      <w:start w:val="1"/>
      <w:numFmt w:val="bullet"/>
      <w:lvlText w:val="o"/>
      <w:lvlJc w:val="left"/>
      <w:pPr>
        <w:ind w:left="5760" w:hanging="360"/>
      </w:pPr>
      <w:rPr>
        <w:rFonts w:ascii="Courier New" w:hAnsi="Courier New" w:cs="Courier New" w:hint="default"/>
      </w:rPr>
    </w:lvl>
    <w:lvl w:ilvl="8" w:tplc="040F0005">
      <w:start w:val="1"/>
      <w:numFmt w:val="bullet"/>
      <w:lvlText w:val=""/>
      <w:lvlJc w:val="left"/>
      <w:pPr>
        <w:ind w:left="6480" w:hanging="360"/>
      </w:pPr>
      <w:rPr>
        <w:rFonts w:ascii="Wingdings" w:hAnsi="Wingdings" w:hint="default"/>
      </w:rPr>
    </w:lvl>
  </w:abstractNum>
  <w:abstractNum w:abstractNumId="11">
    <w:nsid w:val="2BD7135A"/>
    <w:multiLevelType w:val="hybridMultilevel"/>
    <w:tmpl w:val="43080FD0"/>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12">
    <w:nsid w:val="34E57661"/>
    <w:multiLevelType w:val="hybridMultilevel"/>
    <w:tmpl w:val="C714E30E"/>
    <w:lvl w:ilvl="0" w:tplc="040F0001">
      <w:start w:val="1"/>
      <w:numFmt w:val="bullet"/>
      <w:lvlText w:val=""/>
      <w:lvlJc w:val="left"/>
      <w:pPr>
        <w:ind w:left="1428" w:hanging="360"/>
      </w:pPr>
      <w:rPr>
        <w:rFonts w:ascii="Symbol" w:hAnsi="Symbol" w:hint="default"/>
      </w:rPr>
    </w:lvl>
    <w:lvl w:ilvl="1" w:tplc="040F0003" w:tentative="1">
      <w:start w:val="1"/>
      <w:numFmt w:val="bullet"/>
      <w:lvlText w:val="o"/>
      <w:lvlJc w:val="left"/>
      <w:pPr>
        <w:ind w:left="2148" w:hanging="360"/>
      </w:pPr>
      <w:rPr>
        <w:rFonts w:ascii="Courier New" w:hAnsi="Courier New" w:cs="Courier New" w:hint="default"/>
      </w:rPr>
    </w:lvl>
    <w:lvl w:ilvl="2" w:tplc="040F0005" w:tentative="1">
      <w:start w:val="1"/>
      <w:numFmt w:val="bullet"/>
      <w:lvlText w:val=""/>
      <w:lvlJc w:val="left"/>
      <w:pPr>
        <w:ind w:left="2868" w:hanging="360"/>
      </w:pPr>
      <w:rPr>
        <w:rFonts w:ascii="Wingdings" w:hAnsi="Wingdings" w:hint="default"/>
      </w:rPr>
    </w:lvl>
    <w:lvl w:ilvl="3" w:tplc="040F0001" w:tentative="1">
      <w:start w:val="1"/>
      <w:numFmt w:val="bullet"/>
      <w:lvlText w:val=""/>
      <w:lvlJc w:val="left"/>
      <w:pPr>
        <w:ind w:left="3588" w:hanging="360"/>
      </w:pPr>
      <w:rPr>
        <w:rFonts w:ascii="Symbol" w:hAnsi="Symbol" w:hint="default"/>
      </w:rPr>
    </w:lvl>
    <w:lvl w:ilvl="4" w:tplc="040F0003" w:tentative="1">
      <w:start w:val="1"/>
      <w:numFmt w:val="bullet"/>
      <w:lvlText w:val="o"/>
      <w:lvlJc w:val="left"/>
      <w:pPr>
        <w:ind w:left="4308" w:hanging="360"/>
      </w:pPr>
      <w:rPr>
        <w:rFonts w:ascii="Courier New" w:hAnsi="Courier New" w:cs="Courier New" w:hint="default"/>
      </w:rPr>
    </w:lvl>
    <w:lvl w:ilvl="5" w:tplc="040F0005" w:tentative="1">
      <w:start w:val="1"/>
      <w:numFmt w:val="bullet"/>
      <w:lvlText w:val=""/>
      <w:lvlJc w:val="left"/>
      <w:pPr>
        <w:ind w:left="5028" w:hanging="360"/>
      </w:pPr>
      <w:rPr>
        <w:rFonts w:ascii="Wingdings" w:hAnsi="Wingdings" w:hint="default"/>
      </w:rPr>
    </w:lvl>
    <w:lvl w:ilvl="6" w:tplc="040F0001" w:tentative="1">
      <w:start w:val="1"/>
      <w:numFmt w:val="bullet"/>
      <w:lvlText w:val=""/>
      <w:lvlJc w:val="left"/>
      <w:pPr>
        <w:ind w:left="5748" w:hanging="360"/>
      </w:pPr>
      <w:rPr>
        <w:rFonts w:ascii="Symbol" w:hAnsi="Symbol" w:hint="default"/>
      </w:rPr>
    </w:lvl>
    <w:lvl w:ilvl="7" w:tplc="040F0003" w:tentative="1">
      <w:start w:val="1"/>
      <w:numFmt w:val="bullet"/>
      <w:lvlText w:val="o"/>
      <w:lvlJc w:val="left"/>
      <w:pPr>
        <w:ind w:left="6468" w:hanging="360"/>
      </w:pPr>
      <w:rPr>
        <w:rFonts w:ascii="Courier New" w:hAnsi="Courier New" w:cs="Courier New" w:hint="default"/>
      </w:rPr>
    </w:lvl>
    <w:lvl w:ilvl="8" w:tplc="040F0005" w:tentative="1">
      <w:start w:val="1"/>
      <w:numFmt w:val="bullet"/>
      <w:lvlText w:val=""/>
      <w:lvlJc w:val="left"/>
      <w:pPr>
        <w:ind w:left="7188" w:hanging="360"/>
      </w:pPr>
      <w:rPr>
        <w:rFonts w:ascii="Wingdings" w:hAnsi="Wingdings" w:hint="default"/>
      </w:rPr>
    </w:lvl>
  </w:abstractNum>
  <w:abstractNum w:abstractNumId="13">
    <w:nsid w:val="3538686E"/>
    <w:multiLevelType w:val="hybridMultilevel"/>
    <w:tmpl w:val="FD788A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nsid w:val="3A243AFE"/>
    <w:multiLevelType w:val="hybridMultilevel"/>
    <w:tmpl w:val="34A2B10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nsid w:val="40165BAE"/>
    <w:multiLevelType w:val="hybridMultilevel"/>
    <w:tmpl w:val="D0A28AA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nsid w:val="4828680B"/>
    <w:multiLevelType w:val="hybridMultilevel"/>
    <w:tmpl w:val="E41A3E26"/>
    <w:lvl w:ilvl="0" w:tplc="FAC4DCD8">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nsid w:val="549E7C30"/>
    <w:multiLevelType w:val="hybridMultilevel"/>
    <w:tmpl w:val="3D86BBB0"/>
    <w:lvl w:ilvl="0" w:tplc="04090005">
      <w:start w:val="1"/>
      <w:numFmt w:val="bullet"/>
      <w:lvlText w:val=""/>
      <w:lvlJc w:val="left"/>
      <w:pPr>
        <w:ind w:left="2024" w:hanging="360"/>
      </w:pPr>
      <w:rPr>
        <w:rFonts w:ascii="Wingdings" w:hAnsi="Wingdings" w:hint="default"/>
      </w:rPr>
    </w:lvl>
    <w:lvl w:ilvl="1" w:tplc="040F0003" w:tentative="1">
      <w:start w:val="1"/>
      <w:numFmt w:val="bullet"/>
      <w:lvlText w:val="o"/>
      <w:lvlJc w:val="left"/>
      <w:pPr>
        <w:ind w:left="2744" w:hanging="360"/>
      </w:pPr>
      <w:rPr>
        <w:rFonts w:ascii="Courier New" w:hAnsi="Courier New" w:cs="Courier New" w:hint="default"/>
      </w:rPr>
    </w:lvl>
    <w:lvl w:ilvl="2" w:tplc="040F0005" w:tentative="1">
      <w:start w:val="1"/>
      <w:numFmt w:val="bullet"/>
      <w:lvlText w:val=""/>
      <w:lvlJc w:val="left"/>
      <w:pPr>
        <w:ind w:left="3464" w:hanging="360"/>
      </w:pPr>
      <w:rPr>
        <w:rFonts w:ascii="Wingdings" w:hAnsi="Wingdings" w:hint="default"/>
      </w:rPr>
    </w:lvl>
    <w:lvl w:ilvl="3" w:tplc="040F0001" w:tentative="1">
      <w:start w:val="1"/>
      <w:numFmt w:val="bullet"/>
      <w:lvlText w:val=""/>
      <w:lvlJc w:val="left"/>
      <w:pPr>
        <w:ind w:left="4184" w:hanging="360"/>
      </w:pPr>
      <w:rPr>
        <w:rFonts w:ascii="Symbol" w:hAnsi="Symbol" w:hint="default"/>
      </w:rPr>
    </w:lvl>
    <w:lvl w:ilvl="4" w:tplc="040F0003" w:tentative="1">
      <w:start w:val="1"/>
      <w:numFmt w:val="bullet"/>
      <w:lvlText w:val="o"/>
      <w:lvlJc w:val="left"/>
      <w:pPr>
        <w:ind w:left="4904" w:hanging="360"/>
      </w:pPr>
      <w:rPr>
        <w:rFonts w:ascii="Courier New" w:hAnsi="Courier New" w:cs="Courier New" w:hint="default"/>
      </w:rPr>
    </w:lvl>
    <w:lvl w:ilvl="5" w:tplc="040F0005" w:tentative="1">
      <w:start w:val="1"/>
      <w:numFmt w:val="bullet"/>
      <w:lvlText w:val=""/>
      <w:lvlJc w:val="left"/>
      <w:pPr>
        <w:ind w:left="5624" w:hanging="360"/>
      </w:pPr>
      <w:rPr>
        <w:rFonts w:ascii="Wingdings" w:hAnsi="Wingdings" w:hint="default"/>
      </w:rPr>
    </w:lvl>
    <w:lvl w:ilvl="6" w:tplc="040F0001" w:tentative="1">
      <w:start w:val="1"/>
      <w:numFmt w:val="bullet"/>
      <w:lvlText w:val=""/>
      <w:lvlJc w:val="left"/>
      <w:pPr>
        <w:ind w:left="6344" w:hanging="360"/>
      </w:pPr>
      <w:rPr>
        <w:rFonts w:ascii="Symbol" w:hAnsi="Symbol" w:hint="default"/>
      </w:rPr>
    </w:lvl>
    <w:lvl w:ilvl="7" w:tplc="040F0003" w:tentative="1">
      <w:start w:val="1"/>
      <w:numFmt w:val="bullet"/>
      <w:lvlText w:val="o"/>
      <w:lvlJc w:val="left"/>
      <w:pPr>
        <w:ind w:left="7064" w:hanging="360"/>
      </w:pPr>
      <w:rPr>
        <w:rFonts w:ascii="Courier New" w:hAnsi="Courier New" w:cs="Courier New" w:hint="default"/>
      </w:rPr>
    </w:lvl>
    <w:lvl w:ilvl="8" w:tplc="040F0005" w:tentative="1">
      <w:start w:val="1"/>
      <w:numFmt w:val="bullet"/>
      <w:lvlText w:val=""/>
      <w:lvlJc w:val="left"/>
      <w:pPr>
        <w:ind w:left="7784" w:hanging="360"/>
      </w:pPr>
      <w:rPr>
        <w:rFonts w:ascii="Wingdings" w:hAnsi="Wingdings" w:hint="default"/>
      </w:rPr>
    </w:lvl>
  </w:abstractNum>
  <w:abstractNum w:abstractNumId="18">
    <w:nsid w:val="68363F57"/>
    <w:multiLevelType w:val="hybridMultilevel"/>
    <w:tmpl w:val="37621776"/>
    <w:lvl w:ilvl="0" w:tplc="04090005">
      <w:start w:val="1"/>
      <w:numFmt w:val="bullet"/>
      <w:lvlText w:val=""/>
      <w:lvlJc w:val="left"/>
      <w:pPr>
        <w:ind w:left="4811" w:hanging="360"/>
      </w:pPr>
      <w:rPr>
        <w:rFonts w:ascii="Wingdings" w:hAnsi="Wingdings" w:hint="default"/>
      </w:rPr>
    </w:lvl>
    <w:lvl w:ilvl="1" w:tplc="040F0003" w:tentative="1">
      <w:start w:val="1"/>
      <w:numFmt w:val="bullet"/>
      <w:lvlText w:val="o"/>
      <w:lvlJc w:val="left"/>
      <w:pPr>
        <w:ind w:left="5531" w:hanging="360"/>
      </w:pPr>
      <w:rPr>
        <w:rFonts w:ascii="Courier New" w:hAnsi="Courier New" w:cs="Courier New" w:hint="default"/>
      </w:rPr>
    </w:lvl>
    <w:lvl w:ilvl="2" w:tplc="040F0005" w:tentative="1">
      <w:start w:val="1"/>
      <w:numFmt w:val="bullet"/>
      <w:lvlText w:val=""/>
      <w:lvlJc w:val="left"/>
      <w:pPr>
        <w:ind w:left="6251" w:hanging="360"/>
      </w:pPr>
      <w:rPr>
        <w:rFonts w:ascii="Wingdings" w:hAnsi="Wingdings" w:hint="default"/>
      </w:rPr>
    </w:lvl>
    <w:lvl w:ilvl="3" w:tplc="040F0001" w:tentative="1">
      <w:start w:val="1"/>
      <w:numFmt w:val="bullet"/>
      <w:lvlText w:val=""/>
      <w:lvlJc w:val="left"/>
      <w:pPr>
        <w:ind w:left="6971" w:hanging="360"/>
      </w:pPr>
      <w:rPr>
        <w:rFonts w:ascii="Symbol" w:hAnsi="Symbol" w:hint="default"/>
      </w:rPr>
    </w:lvl>
    <w:lvl w:ilvl="4" w:tplc="040F0003" w:tentative="1">
      <w:start w:val="1"/>
      <w:numFmt w:val="bullet"/>
      <w:lvlText w:val="o"/>
      <w:lvlJc w:val="left"/>
      <w:pPr>
        <w:ind w:left="7691" w:hanging="360"/>
      </w:pPr>
      <w:rPr>
        <w:rFonts w:ascii="Courier New" w:hAnsi="Courier New" w:cs="Courier New" w:hint="default"/>
      </w:rPr>
    </w:lvl>
    <w:lvl w:ilvl="5" w:tplc="040F0005" w:tentative="1">
      <w:start w:val="1"/>
      <w:numFmt w:val="bullet"/>
      <w:lvlText w:val=""/>
      <w:lvlJc w:val="left"/>
      <w:pPr>
        <w:ind w:left="8411" w:hanging="360"/>
      </w:pPr>
      <w:rPr>
        <w:rFonts w:ascii="Wingdings" w:hAnsi="Wingdings" w:hint="default"/>
      </w:rPr>
    </w:lvl>
    <w:lvl w:ilvl="6" w:tplc="040F0001" w:tentative="1">
      <w:start w:val="1"/>
      <w:numFmt w:val="bullet"/>
      <w:lvlText w:val=""/>
      <w:lvlJc w:val="left"/>
      <w:pPr>
        <w:ind w:left="9131" w:hanging="360"/>
      </w:pPr>
      <w:rPr>
        <w:rFonts w:ascii="Symbol" w:hAnsi="Symbol" w:hint="default"/>
      </w:rPr>
    </w:lvl>
    <w:lvl w:ilvl="7" w:tplc="040F0003" w:tentative="1">
      <w:start w:val="1"/>
      <w:numFmt w:val="bullet"/>
      <w:lvlText w:val="o"/>
      <w:lvlJc w:val="left"/>
      <w:pPr>
        <w:ind w:left="9851" w:hanging="360"/>
      </w:pPr>
      <w:rPr>
        <w:rFonts w:ascii="Courier New" w:hAnsi="Courier New" w:cs="Courier New" w:hint="default"/>
      </w:rPr>
    </w:lvl>
    <w:lvl w:ilvl="8" w:tplc="040F0005" w:tentative="1">
      <w:start w:val="1"/>
      <w:numFmt w:val="bullet"/>
      <w:lvlText w:val=""/>
      <w:lvlJc w:val="left"/>
      <w:pPr>
        <w:ind w:left="10571" w:hanging="360"/>
      </w:pPr>
      <w:rPr>
        <w:rFonts w:ascii="Wingdings" w:hAnsi="Wingdings" w:hint="default"/>
      </w:rPr>
    </w:lvl>
  </w:abstractNum>
  <w:abstractNum w:abstractNumId="19">
    <w:nsid w:val="734852B8"/>
    <w:multiLevelType w:val="hybridMultilevel"/>
    <w:tmpl w:val="45DC6610"/>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4"/>
  </w:num>
  <w:num w:numId="12">
    <w:abstractNumId w:val="0"/>
  </w:num>
  <w:num w:numId="13">
    <w:abstractNumId w:val="13"/>
  </w:num>
  <w:num w:numId="14">
    <w:abstractNumId w:val="19"/>
  </w:num>
  <w:num w:numId="15">
    <w:abstractNumId w:val="12"/>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8"/>
  </w:num>
  <w:num w:numId="28">
    <w:abstractNumId w:val="16"/>
  </w:num>
  <w:num w:numId="29">
    <w:abstractNumId w:val="1"/>
  </w:num>
  <w:num w:numId="30">
    <w:abstractNumId w:val="14"/>
  </w:num>
  <w:num w:numId="31">
    <w:abstractNumId w:val="10"/>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81"/>
    <w:rsid w:val="00000FBB"/>
    <w:rsid w:val="00001A78"/>
    <w:rsid w:val="00006465"/>
    <w:rsid w:val="00012445"/>
    <w:rsid w:val="00014B25"/>
    <w:rsid w:val="000167D0"/>
    <w:rsid w:val="00017B64"/>
    <w:rsid w:val="000244F0"/>
    <w:rsid w:val="000275B1"/>
    <w:rsid w:val="000302EE"/>
    <w:rsid w:val="00033242"/>
    <w:rsid w:val="00033495"/>
    <w:rsid w:val="00034E9D"/>
    <w:rsid w:val="00034F0B"/>
    <w:rsid w:val="0004182D"/>
    <w:rsid w:val="000511DF"/>
    <w:rsid w:val="00053241"/>
    <w:rsid w:val="00053D64"/>
    <w:rsid w:val="00053F8F"/>
    <w:rsid w:val="00057355"/>
    <w:rsid w:val="000609CC"/>
    <w:rsid w:val="00061793"/>
    <w:rsid w:val="00064B6E"/>
    <w:rsid w:val="00064BF5"/>
    <w:rsid w:val="00065B90"/>
    <w:rsid w:val="00087406"/>
    <w:rsid w:val="000907CE"/>
    <w:rsid w:val="000911A0"/>
    <w:rsid w:val="0009431D"/>
    <w:rsid w:val="00095E33"/>
    <w:rsid w:val="000A19F5"/>
    <w:rsid w:val="000A243C"/>
    <w:rsid w:val="000A5861"/>
    <w:rsid w:val="000A626A"/>
    <w:rsid w:val="000A77F0"/>
    <w:rsid w:val="000A7876"/>
    <w:rsid w:val="000B0096"/>
    <w:rsid w:val="000B092A"/>
    <w:rsid w:val="000B1C4A"/>
    <w:rsid w:val="000B217A"/>
    <w:rsid w:val="000B7DAD"/>
    <w:rsid w:val="000C3B59"/>
    <w:rsid w:val="000C4DFF"/>
    <w:rsid w:val="000C4EA4"/>
    <w:rsid w:val="000D3643"/>
    <w:rsid w:val="000D44C0"/>
    <w:rsid w:val="000D664D"/>
    <w:rsid w:val="000E3CD5"/>
    <w:rsid w:val="000F2491"/>
    <w:rsid w:val="0010312B"/>
    <w:rsid w:val="001032CB"/>
    <w:rsid w:val="0010511F"/>
    <w:rsid w:val="0012081A"/>
    <w:rsid w:val="0012141C"/>
    <w:rsid w:val="001214EB"/>
    <w:rsid w:val="001261A4"/>
    <w:rsid w:val="00126C8B"/>
    <w:rsid w:val="001300FC"/>
    <w:rsid w:val="0013048B"/>
    <w:rsid w:val="00132844"/>
    <w:rsid w:val="0013582B"/>
    <w:rsid w:val="00137C0D"/>
    <w:rsid w:val="00157DB7"/>
    <w:rsid w:val="001605C0"/>
    <w:rsid w:val="00161466"/>
    <w:rsid w:val="0016523B"/>
    <w:rsid w:val="001660DC"/>
    <w:rsid w:val="001666FA"/>
    <w:rsid w:val="00173644"/>
    <w:rsid w:val="00174FFF"/>
    <w:rsid w:val="00182E7F"/>
    <w:rsid w:val="00187E5A"/>
    <w:rsid w:val="001922F9"/>
    <w:rsid w:val="00192DDB"/>
    <w:rsid w:val="0019312B"/>
    <w:rsid w:val="001940C7"/>
    <w:rsid w:val="00195B22"/>
    <w:rsid w:val="00195BB3"/>
    <w:rsid w:val="001B145F"/>
    <w:rsid w:val="001B1E38"/>
    <w:rsid w:val="00202B8B"/>
    <w:rsid w:val="00202E51"/>
    <w:rsid w:val="0020334C"/>
    <w:rsid w:val="002224EB"/>
    <w:rsid w:val="00224DA3"/>
    <w:rsid w:val="0022502E"/>
    <w:rsid w:val="0023057E"/>
    <w:rsid w:val="002321D9"/>
    <w:rsid w:val="00235E2B"/>
    <w:rsid w:val="00241F2A"/>
    <w:rsid w:val="00242A65"/>
    <w:rsid w:val="00243ACD"/>
    <w:rsid w:val="0024481C"/>
    <w:rsid w:val="0024708D"/>
    <w:rsid w:val="00252B6A"/>
    <w:rsid w:val="00255B4D"/>
    <w:rsid w:val="002572D5"/>
    <w:rsid w:val="00260DCF"/>
    <w:rsid w:val="00262118"/>
    <w:rsid w:val="00265986"/>
    <w:rsid w:val="002714EB"/>
    <w:rsid w:val="00272035"/>
    <w:rsid w:val="00274807"/>
    <w:rsid w:val="002911C6"/>
    <w:rsid w:val="002A1132"/>
    <w:rsid w:val="002A3868"/>
    <w:rsid w:val="002B3DE9"/>
    <w:rsid w:val="002B5097"/>
    <w:rsid w:val="002B52D7"/>
    <w:rsid w:val="002D523D"/>
    <w:rsid w:val="002E037D"/>
    <w:rsid w:val="002E0B5E"/>
    <w:rsid w:val="002E1D25"/>
    <w:rsid w:val="002E381E"/>
    <w:rsid w:val="002E4636"/>
    <w:rsid w:val="002E6E67"/>
    <w:rsid w:val="002F3578"/>
    <w:rsid w:val="002F6283"/>
    <w:rsid w:val="003024C0"/>
    <w:rsid w:val="00302862"/>
    <w:rsid w:val="003044F7"/>
    <w:rsid w:val="00304CDB"/>
    <w:rsid w:val="00307CD5"/>
    <w:rsid w:val="0032194E"/>
    <w:rsid w:val="0032452E"/>
    <w:rsid w:val="00331E76"/>
    <w:rsid w:val="003349D4"/>
    <w:rsid w:val="00336473"/>
    <w:rsid w:val="00336D0A"/>
    <w:rsid w:val="003374D1"/>
    <w:rsid w:val="003407A7"/>
    <w:rsid w:val="00340D25"/>
    <w:rsid w:val="00351AE8"/>
    <w:rsid w:val="003536D0"/>
    <w:rsid w:val="00354996"/>
    <w:rsid w:val="00357AE4"/>
    <w:rsid w:val="00360B66"/>
    <w:rsid w:val="00361B1F"/>
    <w:rsid w:val="00361F45"/>
    <w:rsid w:val="003705DE"/>
    <w:rsid w:val="00376421"/>
    <w:rsid w:val="003951B4"/>
    <w:rsid w:val="00397148"/>
    <w:rsid w:val="003A0E9E"/>
    <w:rsid w:val="003A1A25"/>
    <w:rsid w:val="003B1D97"/>
    <w:rsid w:val="003C1C35"/>
    <w:rsid w:val="003D27B2"/>
    <w:rsid w:val="003D5935"/>
    <w:rsid w:val="003D6A96"/>
    <w:rsid w:val="003D7BD0"/>
    <w:rsid w:val="003E1D3E"/>
    <w:rsid w:val="003E2FFA"/>
    <w:rsid w:val="003E36D7"/>
    <w:rsid w:val="003E3F22"/>
    <w:rsid w:val="003E3F63"/>
    <w:rsid w:val="003E42C5"/>
    <w:rsid w:val="003E693B"/>
    <w:rsid w:val="003E7960"/>
    <w:rsid w:val="003F285F"/>
    <w:rsid w:val="003F4F7F"/>
    <w:rsid w:val="0040229B"/>
    <w:rsid w:val="00414687"/>
    <w:rsid w:val="00420FE2"/>
    <w:rsid w:val="00421751"/>
    <w:rsid w:val="00425343"/>
    <w:rsid w:val="0042789F"/>
    <w:rsid w:val="00433D1C"/>
    <w:rsid w:val="00446421"/>
    <w:rsid w:val="00452C50"/>
    <w:rsid w:val="0045507D"/>
    <w:rsid w:val="00460BA6"/>
    <w:rsid w:val="00461C59"/>
    <w:rsid w:val="00463F47"/>
    <w:rsid w:val="004701E1"/>
    <w:rsid w:val="00471953"/>
    <w:rsid w:val="00471E7D"/>
    <w:rsid w:val="004722D3"/>
    <w:rsid w:val="004722D5"/>
    <w:rsid w:val="00475A3A"/>
    <w:rsid w:val="00475BE1"/>
    <w:rsid w:val="004801F7"/>
    <w:rsid w:val="0048108E"/>
    <w:rsid w:val="00481716"/>
    <w:rsid w:val="00486D01"/>
    <w:rsid w:val="00492C81"/>
    <w:rsid w:val="004966ED"/>
    <w:rsid w:val="00496E3C"/>
    <w:rsid w:val="004A1A23"/>
    <w:rsid w:val="004A37FB"/>
    <w:rsid w:val="004B0E1B"/>
    <w:rsid w:val="004B11C5"/>
    <w:rsid w:val="004B44F8"/>
    <w:rsid w:val="004B603F"/>
    <w:rsid w:val="004B6CED"/>
    <w:rsid w:val="004C1455"/>
    <w:rsid w:val="004C3CC1"/>
    <w:rsid w:val="004C4744"/>
    <w:rsid w:val="004C7472"/>
    <w:rsid w:val="004C7CE5"/>
    <w:rsid w:val="004D1051"/>
    <w:rsid w:val="004D11D2"/>
    <w:rsid w:val="004D11E2"/>
    <w:rsid w:val="004D1A0D"/>
    <w:rsid w:val="004D4410"/>
    <w:rsid w:val="004D68A8"/>
    <w:rsid w:val="004E0A07"/>
    <w:rsid w:val="004E170F"/>
    <w:rsid w:val="004E38B0"/>
    <w:rsid w:val="004E5F4A"/>
    <w:rsid w:val="004F3278"/>
    <w:rsid w:val="004F5D91"/>
    <w:rsid w:val="00500AB3"/>
    <w:rsid w:val="00500D91"/>
    <w:rsid w:val="00510E95"/>
    <w:rsid w:val="00517A5F"/>
    <w:rsid w:val="00517FA1"/>
    <w:rsid w:val="00522F7E"/>
    <w:rsid w:val="005257C5"/>
    <w:rsid w:val="00533036"/>
    <w:rsid w:val="00533480"/>
    <w:rsid w:val="00542527"/>
    <w:rsid w:val="00544341"/>
    <w:rsid w:val="005464D4"/>
    <w:rsid w:val="005517ED"/>
    <w:rsid w:val="00557858"/>
    <w:rsid w:val="00560B86"/>
    <w:rsid w:val="00561B7A"/>
    <w:rsid w:val="00571FEE"/>
    <w:rsid w:val="00574A1A"/>
    <w:rsid w:val="00580A1D"/>
    <w:rsid w:val="00582939"/>
    <w:rsid w:val="00582AEF"/>
    <w:rsid w:val="00583650"/>
    <w:rsid w:val="00593D43"/>
    <w:rsid w:val="00594973"/>
    <w:rsid w:val="00596A84"/>
    <w:rsid w:val="00597082"/>
    <w:rsid w:val="005A248B"/>
    <w:rsid w:val="005A4420"/>
    <w:rsid w:val="005B0DAA"/>
    <w:rsid w:val="005B6FB9"/>
    <w:rsid w:val="005B7709"/>
    <w:rsid w:val="005C7D11"/>
    <w:rsid w:val="005D143D"/>
    <w:rsid w:val="005D2499"/>
    <w:rsid w:val="005D2F97"/>
    <w:rsid w:val="005E377E"/>
    <w:rsid w:val="005F5EB4"/>
    <w:rsid w:val="005F74C8"/>
    <w:rsid w:val="006046EA"/>
    <w:rsid w:val="00604E32"/>
    <w:rsid w:val="006100FC"/>
    <w:rsid w:val="0061275D"/>
    <w:rsid w:val="00613878"/>
    <w:rsid w:val="00613DD9"/>
    <w:rsid w:val="006167C6"/>
    <w:rsid w:val="006233BD"/>
    <w:rsid w:val="00632A5C"/>
    <w:rsid w:val="00634E68"/>
    <w:rsid w:val="006350EE"/>
    <w:rsid w:val="006378AF"/>
    <w:rsid w:val="00641555"/>
    <w:rsid w:val="0064172B"/>
    <w:rsid w:val="00653D4C"/>
    <w:rsid w:val="00656928"/>
    <w:rsid w:val="0065722E"/>
    <w:rsid w:val="006577C6"/>
    <w:rsid w:val="00672D5B"/>
    <w:rsid w:val="006732DE"/>
    <w:rsid w:val="00676EA7"/>
    <w:rsid w:val="00677244"/>
    <w:rsid w:val="006779C1"/>
    <w:rsid w:val="006779CA"/>
    <w:rsid w:val="00680A15"/>
    <w:rsid w:val="00681414"/>
    <w:rsid w:val="006815F1"/>
    <w:rsid w:val="00681A91"/>
    <w:rsid w:val="00682491"/>
    <w:rsid w:val="006850AD"/>
    <w:rsid w:val="00690BDA"/>
    <w:rsid w:val="0069566E"/>
    <w:rsid w:val="006A0046"/>
    <w:rsid w:val="006A2F3E"/>
    <w:rsid w:val="006A4896"/>
    <w:rsid w:val="006A5E07"/>
    <w:rsid w:val="006B0409"/>
    <w:rsid w:val="006B2064"/>
    <w:rsid w:val="006B7CDF"/>
    <w:rsid w:val="006C0794"/>
    <w:rsid w:val="006C094E"/>
    <w:rsid w:val="006D164A"/>
    <w:rsid w:val="006D4960"/>
    <w:rsid w:val="006D53B0"/>
    <w:rsid w:val="006D67ED"/>
    <w:rsid w:val="006D7AD2"/>
    <w:rsid w:val="006E22DB"/>
    <w:rsid w:val="006E3036"/>
    <w:rsid w:val="006E7085"/>
    <w:rsid w:val="006F05B2"/>
    <w:rsid w:val="00706F61"/>
    <w:rsid w:val="007074D1"/>
    <w:rsid w:val="00711029"/>
    <w:rsid w:val="0071647A"/>
    <w:rsid w:val="00720A83"/>
    <w:rsid w:val="00725E33"/>
    <w:rsid w:val="00733B23"/>
    <w:rsid w:val="00734C6A"/>
    <w:rsid w:val="00746F40"/>
    <w:rsid w:val="00752701"/>
    <w:rsid w:val="0077361F"/>
    <w:rsid w:val="007775C4"/>
    <w:rsid w:val="00782646"/>
    <w:rsid w:val="0079601B"/>
    <w:rsid w:val="00796513"/>
    <w:rsid w:val="0079777A"/>
    <w:rsid w:val="007A212C"/>
    <w:rsid w:val="007A60FF"/>
    <w:rsid w:val="007B2024"/>
    <w:rsid w:val="007B2C9C"/>
    <w:rsid w:val="007B4787"/>
    <w:rsid w:val="007C4430"/>
    <w:rsid w:val="007C538D"/>
    <w:rsid w:val="007C5ED1"/>
    <w:rsid w:val="007D01B6"/>
    <w:rsid w:val="007D0864"/>
    <w:rsid w:val="007D0B5D"/>
    <w:rsid w:val="007D283F"/>
    <w:rsid w:val="007D52C2"/>
    <w:rsid w:val="007D6713"/>
    <w:rsid w:val="007D6E2A"/>
    <w:rsid w:val="007D7EAE"/>
    <w:rsid w:val="00800200"/>
    <w:rsid w:val="00804508"/>
    <w:rsid w:val="008065FB"/>
    <w:rsid w:val="00824E1C"/>
    <w:rsid w:val="00830E04"/>
    <w:rsid w:val="00831C66"/>
    <w:rsid w:val="00837753"/>
    <w:rsid w:val="00844C1B"/>
    <w:rsid w:val="00846D68"/>
    <w:rsid w:val="0085017F"/>
    <w:rsid w:val="00850213"/>
    <w:rsid w:val="00851D7A"/>
    <w:rsid w:val="0087014F"/>
    <w:rsid w:val="0088318E"/>
    <w:rsid w:val="00896F87"/>
    <w:rsid w:val="008A13F3"/>
    <w:rsid w:val="008A3F51"/>
    <w:rsid w:val="008B05CC"/>
    <w:rsid w:val="008B34C8"/>
    <w:rsid w:val="008B350E"/>
    <w:rsid w:val="008C21D4"/>
    <w:rsid w:val="008C70B5"/>
    <w:rsid w:val="008D0D26"/>
    <w:rsid w:val="008D674A"/>
    <w:rsid w:val="008F028C"/>
    <w:rsid w:val="009019E7"/>
    <w:rsid w:val="00903621"/>
    <w:rsid w:val="00904DCC"/>
    <w:rsid w:val="00923C8D"/>
    <w:rsid w:val="009258E1"/>
    <w:rsid w:val="00926448"/>
    <w:rsid w:val="009310CB"/>
    <w:rsid w:val="00931970"/>
    <w:rsid w:val="00933021"/>
    <w:rsid w:val="00936F47"/>
    <w:rsid w:val="0094090D"/>
    <w:rsid w:val="0094554E"/>
    <w:rsid w:val="00945D4B"/>
    <w:rsid w:val="00947AC3"/>
    <w:rsid w:val="009542D1"/>
    <w:rsid w:val="00966156"/>
    <w:rsid w:val="0096664D"/>
    <w:rsid w:val="0098179E"/>
    <w:rsid w:val="00981AB4"/>
    <w:rsid w:val="009838B0"/>
    <w:rsid w:val="00984153"/>
    <w:rsid w:val="00986D10"/>
    <w:rsid w:val="009926C1"/>
    <w:rsid w:val="009947B1"/>
    <w:rsid w:val="00994AB6"/>
    <w:rsid w:val="009B4904"/>
    <w:rsid w:val="009B7020"/>
    <w:rsid w:val="009D17D6"/>
    <w:rsid w:val="009D3F8C"/>
    <w:rsid w:val="009D5170"/>
    <w:rsid w:val="009D51A8"/>
    <w:rsid w:val="009E65E6"/>
    <w:rsid w:val="009E7785"/>
    <w:rsid w:val="009E77DB"/>
    <w:rsid w:val="009F08BD"/>
    <w:rsid w:val="009F24DE"/>
    <w:rsid w:val="009F37D6"/>
    <w:rsid w:val="009F6340"/>
    <w:rsid w:val="009F6D45"/>
    <w:rsid w:val="009F7933"/>
    <w:rsid w:val="00A04A7B"/>
    <w:rsid w:val="00A0752D"/>
    <w:rsid w:val="00A07E2A"/>
    <w:rsid w:val="00A109F2"/>
    <w:rsid w:val="00A10ADA"/>
    <w:rsid w:val="00A12595"/>
    <w:rsid w:val="00A21BA8"/>
    <w:rsid w:val="00A222A2"/>
    <w:rsid w:val="00A23007"/>
    <w:rsid w:val="00A24019"/>
    <w:rsid w:val="00A27A4E"/>
    <w:rsid w:val="00A33059"/>
    <w:rsid w:val="00A3653E"/>
    <w:rsid w:val="00A40AA1"/>
    <w:rsid w:val="00A42939"/>
    <w:rsid w:val="00A44345"/>
    <w:rsid w:val="00A46452"/>
    <w:rsid w:val="00A51A2C"/>
    <w:rsid w:val="00A5765A"/>
    <w:rsid w:val="00A629BB"/>
    <w:rsid w:val="00A63481"/>
    <w:rsid w:val="00A730AA"/>
    <w:rsid w:val="00A76029"/>
    <w:rsid w:val="00A840EB"/>
    <w:rsid w:val="00A86D9A"/>
    <w:rsid w:val="00A91C68"/>
    <w:rsid w:val="00AA0046"/>
    <w:rsid w:val="00AA5EAF"/>
    <w:rsid w:val="00AB7BE7"/>
    <w:rsid w:val="00AC1147"/>
    <w:rsid w:val="00AC3DA4"/>
    <w:rsid w:val="00AC5260"/>
    <w:rsid w:val="00AC785C"/>
    <w:rsid w:val="00AD5F49"/>
    <w:rsid w:val="00AE0ECC"/>
    <w:rsid w:val="00AE25D8"/>
    <w:rsid w:val="00AF0350"/>
    <w:rsid w:val="00AF2C16"/>
    <w:rsid w:val="00B036F2"/>
    <w:rsid w:val="00B133B2"/>
    <w:rsid w:val="00B177A3"/>
    <w:rsid w:val="00B24084"/>
    <w:rsid w:val="00B32BFA"/>
    <w:rsid w:val="00B35E12"/>
    <w:rsid w:val="00B36AA5"/>
    <w:rsid w:val="00B4198B"/>
    <w:rsid w:val="00B50827"/>
    <w:rsid w:val="00B5377B"/>
    <w:rsid w:val="00B55E24"/>
    <w:rsid w:val="00B70268"/>
    <w:rsid w:val="00B7096B"/>
    <w:rsid w:val="00B725FD"/>
    <w:rsid w:val="00B81947"/>
    <w:rsid w:val="00B827C7"/>
    <w:rsid w:val="00B92C52"/>
    <w:rsid w:val="00BA3212"/>
    <w:rsid w:val="00BA5992"/>
    <w:rsid w:val="00BB7BDE"/>
    <w:rsid w:val="00BC52E0"/>
    <w:rsid w:val="00BE0B58"/>
    <w:rsid w:val="00C00B1A"/>
    <w:rsid w:val="00C024B9"/>
    <w:rsid w:val="00C101A2"/>
    <w:rsid w:val="00C15425"/>
    <w:rsid w:val="00C15AB9"/>
    <w:rsid w:val="00C218DD"/>
    <w:rsid w:val="00C27A04"/>
    <w:rsid w:val="00C326D3"/>
    <w:rsid w:val="00C332B9"/>
    <w:rsid w:val="00C34538"/>
    <w:rsid w:val="00C3628C"/>
    <w:rsid w:val="00C40D63"/>
    <w:rsid w:val="00C45DDE"/>
    <w:rsid w:val="00C5487C"/>
    <w:rsid w:val="00C5678D"/>
    <w:rsid w:val="00C60DC8"/>
    <w:rsid w:val="00C62CB9"/>
    <w:rsid w:val="00C64103"/>
    <w:rsid w:val="00C6469D"/>
    <w:rsid w:val="00C739FE"/>
    <w:rsid w:val="00C743FC"/>
    <w:rsid w:val="00C80707"/>
    <w:rsid w:val="00C808FD"/>
    <w:rsid w:val="00C840A5"/>
    <w:rsid w:val="00C85BD0"/>
    <w:rsid w:val="00C85D29"/>
    <w:rsid w:val="00C956F1"/>
    <w:rsid w:val="00CA07C7"/>
    <w:rsid w:val="00CA385A"/>
    <w:rsid w:val="00CB667F"/>
    <w:rsid w:val="00CB6A6C"/>
    <w:rsid w:val="00CC04B0"/>
    <w:rsid w:val="00CC21B7"/>
    <w:rsid w:val="00CC2933"/>
    <w:rsid w:val="00CC34B7"/>
    <w:rsid w:val="00CC35EA"/>
    <w:rsid w:val="00CD3EAE"/>
    <w:rsid w:val="00CD4866"/>
    <w:rsid w:val="00CE099B"/>
    <w:rsid w:val="00CF14BD"/>
    <w:rsid w:val="00CF1581"/>
    <w:rsid w:val="00CF2609"/>
    <w:rsid w:val="00CF2C59"/>
    <w:rsid w:val="00D05F54"/>
    <w:rsid w:val="00D24461"/>
    <w:rsid w:val="00D4494E"/>
    <w:rsid w:val="00D45DBA"/>
    <w:rsid w:val="00D47671"/>
    <w:rsid w:val="00D52B7F"/>
    <w:rsid w:val="00D53A52"/>
    <w:rsid w:val="00D55A1D"/>
    <w:rsid w:val="00D56408"/>
    <w:rsid w:val="00D63AD0"/>
    <w:rsid w:val="00D654FE"/>
    <w:rsid w:val="00D73375"/>
    <w:rsid w:val="00D779D6"/>
    <w:rsid w:val="00D834A4"/>
    <w:rsid w:val="00D83F3B"/>
    <w:rsid w:val="00D912D0"/>
    <w:rsid w:val="00D91634"/>
    <w:rsid w:val="00DA0390"/>
    <w:rsid w:val="00DA0AAC"/>
    <w:rsid w:val="00DB52C9"/>
    <w:rsid w:val="00DD0F02"/>
    <w:rsid w:val="00DD7159"/>
    <w:rsid w:val="00DE083E"/>
    <w:rsid w:val="00DE08D1"/>
    <w:rsid w:val="00DF254D"/>
    <w:rsid w:val="00DF4F58"/>
    <w:rsid w:val="00DF6884"/>
    <w:rsid w:val="00E0538E"/>
    <w:rsid w:val="00E10978"/>
    <w:rsid w:val="00E11BB0"/>
    <w:rsid w:val="00E15977"/>
    <w:rsid w:val="00E16562"/>
    <w:rsid w:val="00E23069"/>
    <w:rsid w:val="00E23CFE"/>
    <w:rsid w:val="00E31D5E"/>
    <w:rsid w:val="00E33579"/>
    <w:rsid w:val="00E37063"/>
    <w:rsid w:val="00E46C98"/>
    <w:rsid w:val="00E52491"/>
    <w:rsid w:val="00E53222"/>
    <w:rsid w:val="00E55DD4"/>
    <w:rsid w:val="00E6504C"/>
    <w:rsid w:val="00E72787"/>
    <w:rsid w:val="00E82768"/>
    <w:rsid w:val="00E85413"/>
    <w:rsid w:val="00E97CC1"/>
    <w:rsid w:val="00EA2BAD"/>
    <w:rsid w:val="00EA3DAD"/>
    <w:rsid w:val="00EA7D5D"/>
    <w:rsid w:val="00EB0916"/>
    <w:rsid w:val="00EB3871"/>
    <w:rsid w:val="00EC6177"/>
    <w:rsid w:val="00ED0D5D"/>
    <w:rsid w:val="00EE657D"/>
    <w:rsid w:val="00EF4BE3"/>
    <w:rsid w:val="00EF7974"/>
    <w:rsid w:val="00F016B0"/>
    <w:rsid w:val="00F04329"/>
    <w:rsid w:val="00F05FDE"/>
    <w:rsid w:val="00F061E3"/>
    <w:rsid w:val="00F067D7"/>
    <w:rsid w:val="00F157AC"/>
    <w:rsid w:val="00F174CA"/>
    <w:rsid w:val="00F3264C"/>
    <w:rsid w:val="00F32911"/>
    <w:rsid w:val="00F4169F"/>
    <w:rsid w:val="00F570CC"/>
    <w:rsid w:val="00F57B1F"/>
    <w:rsid w:val="00F6326F"/>
    <w:rsid w:val="00F64560"/>
    <w:rsid w:val="00F661EC"/>
    <w:rsid w:val="00F70FA8"/>
    <w:rsid w:val="00F80407"/>
    <w:rsid w:val="00F80C50"/>
    <w:rsid w:val="00F82B88"/>
    <w:rsid w:val="00F8605B"/>
    <w:rsid w:val="00F87EDF"/>
    <w:rsid w:val="00F918C8"/>
    <w:rsid w:val="00F92275"/>
    <w:rsid w:val="00F936A8"/>
    <w:rsid w:val="00F9799C"/>
    <w:rsid w:val="00FB1652"/>
    <w:rsid w:val="00FB4755"/>
    <w:rsid w:val="00FB79B5"/>
    <w:rsid w:val="00FC00A0"/>
    <w:rsid w:val="00FC45F1"/>
    <w:rsid w:val="00FD1424"/>
    <w:rsid w:val="00FD46C2"/>
    <w:rsid w:val="00FE16D5"/>
    <w:rsid w:val="00FE7A78"/>
    <w:rsid w:val="00FF573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0405D-5FE4-42B9-AF3E-20E50D02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2B"/>
  </w:style>
  <w:style w:type="paragraph" w:styleId="Heading1">
    <w:name w:val="heading 1"/>
    <w:basedOn w:val="Normal"/>
    <w:next w:val="Normal"/>
    <w:link w:val="Heading1Char"/>
    <w:uiPriority w:val="9"/>
    <w:qFormat/>
    <w:rsid w:val="001300FC"/>
    <w:pPr>
      <w:keepNext/>
      <w:keepLines/>
      <w:numPr>
        <w:numId w:val="16"/>
      </w:numPr>
      <w:spacing w:before="360" w:after="0"/>
      <w:ind w:left="720"/>
      <w:outlineLvl w:val="0"/>
    </w:pPr>
    <w:rPr>
      <w:rFonts w:ascii="Arial" w:eastAsiaTheme="majorEastAsia" w:hAnsi="Arial" w:cstheme="majorBidi"/>
      <w:b/>
      <w:caps/>
      <w:color w:val="1F497D" w:themeColor="text2"/>
      <w:sz w:val="24"/>
      <w:szCs w:val="32"/>
    </w:rPr>
  </w:style>
  <w:style w:type="paragraph" w:styleId="Heading2">
    <w:name w:val="heading 2"/>
    <w:basedOn w:val="Normal"/>
    <w:next w:val="Normal"/>
    <w:link w:val="Heading2Char"/>
    <w:autoRedefine/>
    <w:qFormat/>
    <w:rsid w:val="0094090D"/>
    <w:pPr>
      <w:keepNext/>
      <w:tabs>
        <w:tab w:val="left" w:pos="900"/>
      </w:tabs>
      <w:spacing w:before="240" w:after="240" w:line="240" w:lineRule="auto"/>
      <w:outlineLvl w:val="1"/>
    </w:pPr>
    <w:rPr>
      <w:rFonts w:ascii="Optima" w:eastAsia="Times New Roman" w:hAnsi="Optima" w:cs="Arial"/>
      <w:b/>
      <w:bCs/>
      <w:i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5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581"/>
  </w:style>
  <w:style w:type="paragraph" w:styleId="Footer">
    <w:name w:val="footer"/>
    <w:basedOn w:val="Normal"/>
    <w:link w:val="FooterChar"/>
    <w:uiPriority w:val="99"/>
    <w:unhideWhenUsed/>
    <w:rsid w:val="00CF15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581"/>
  </w:style>
  <w:style w:type="paragraph" w:styleId="BalloonText">
    <w:name w:val="Balloon Text"/>
    <w:basedOn w:val="Normal"/>
    <w:link w:val="BalloonTextChar"/>
    <w:uiPriority w:val="99"/>
    <w:semiHidden/>
    <w:unhideWhenUsed/>
    <w:rsid w:val="00CF1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81"/>
    <w:rPr>
      <w:rFonts w:ascii="Tahoma" w:hAnsi="Tahoma" w:cs="Tahoma"/>
      <w:sz w:val="16"/>
      <w:szCs w:val="16"/>
    </w:rPr>
  </w:style>
  <w:style w:type="paragraph" w:styleId="ListParagraph">
    <w:name w:val="List Paragraph"/>
    <w:basedOn w:val="Normal"/>
    <w:uiPriority w:val="34"/>
    <w:qFormat/>
    <w:rsid w:val="00CB667F"/>
    <w:pPr>
      <w:ind w:left="720"/>
      <w:contextualSpacing/>
    </w:pPr>
  </w:style>
  <w:style w:type="character" w:customStyle="1" w:styleId="Heading2Char">
    <w:name w:val="Heading 2 Char"/>
    <w:basedOn w:val="DefaultParagraphFont"/>
    <w:link w:val="Heading2"/>
    <w:rsid w:val="0094090D"/>
    <w:rPr>
      <w:rFonts w:ascii="Optima" w:eastAsia="Times New Roman" w:hAnsi="Optima" w:cs="Arial"/>
      <w:b/>
      <w:bCs/>
      <w:iCs/>
      <w:caps/>
      <w:color w:val="000000" w:themeColor="text1"/>
    </w:rPr>
  </w:style>
  <w:style w:type="paragraph" w:customStyle="1" w:styleId="Normal2">
    <w:name w:val="Normal 2"/>
    <w:basedOn w:val="Normal"/>
    <w:link w:val="Normal2Char"/>
    <w:qFormat/>
    <w:rsid w:val="0094090D"/>
    <w:pPr>
      <w:spacing w:after="120" w:line="240" w:lineRule="auto"/>
      <w:ind w:left="1304"/>
      <w:jc w:val="both"/>
    </w:pPr>
    <w:rPr>
      <w:rFonts w:ascii="Arial" w:eastAsia="Calibri" w:hAnsi="Arial" w:cs="Times New Roman"/>
    </w:rPr>
  </w:style>
  <w:style w:type="character" w:customStyle="1" w:styleId="Normal2Char">
    <w:name w:val="Normal 2 Char"/>
    <w:basedOn w:val="DefaultParagraphFont"/>
    <w:link w:val="Normal2"/>
    <w:rsid w:val="0094090D"/>
    <w:rPr>
      <w:rFonts w:ascii="Arial" w:eastAsia="Calibri" w:hAnsi="Arial" w:cs="Times New Roman"/>
    </w:rPr>
  </w:style>
  <w:style w:type="paragraph" w:customStyle="1" w:styleId="hersluatrii">
    <w:name w:val="Áhersluatriði"/>
    <w:basedOn w:val="BodyText"/>
    <w:link w:val="hersluatriiChar"/>
    <w:qFormat/>
    <w:rsid w:val="0094090D"/>
    <w:pPr>
      <w:numPr>
        <w:ilvl w:val="12"/>
      </w:numPr>
      <w:pBdr>
        <w:top w:val="single" w:sz="4" w:space="1" w:color="auto"/>
        <w:left w:val="single" w:sz="4" w:space="0" w:color="auto"/>
        <w:bottom w:val="single" w:sz="4" w:space="1" w:color="auto"/>
        <w:right w:val="single" w:sz="4" w:space="4" w:color="auto"/>
      </w:pBdr>
      <w:shd w:val="pct12" w:color="auto" w:fill="auto"/>
      <w:spacing w:line="240" w:lineRule="auto"/>
      <w:ind w:left="1361"/>
      <w:jc w:val="both"/>
    </w:pPr>
    <w:rPr>
      <w:rFonts w:ascii="Arial" w:eastAsia="Times New Roman" w:hAnsi="Arial" w:cs="Times New Roman"/>
      <w:i/>
      <w:noProof/>
      <w:color w:val="000000"/>
      <w:szCs w:val="24"/>
    </w:rPr>
  </w:style>
  <w:style w:type="character" w:customStyle="1" w:styleId="hersluatriiChar">
    <w:name w:val="Áhersluatriði Char"/>
    <w:basedOn w:val="BodyTextChar"/>
    <w:link w:val="hersluatrii"/>
    <w:rsid w:val="0094090D"/>
    <w:rPr>
      <w:rFonts w:ascii="Arial" w:eastAsia="Times New Roman" w:hAnsi="Arial" w:cs="Times New Roman"/>
      <w:i/>
      <w:noProof/>
      <w:color w:val="000000"/>
      <w:szCs w:val="24"/>
      <w:shd w:val="pct12" w:color="auto" w:fill="auto"/>
    </w:rPr>
  </w:style>
  <w:style w:type="paragraph" w:styleId="BodyText">
    <w:name w:val="Body Text"/>
    <w:basedOn w:val="Normal"/>
    <w:link w:val="BodyTextChar"/>
    <w:uiPriority w:val="99"/>
    <w:semiHidden/>
    <w:unhideWhenUsed/>
    <w:rsid w:val="0094090D"/>
    <w:pPr>
      <w:spacing w:after="120"/>
    </w:pPr>
  </w:style>
  <w:style w:type="character" w:customStyle="1" w:styleId="BodyTextChar">
    <w:name w:val="Body Text Char"/>
    <w:basedOn w:val="DefaultParagraphFont"/>
    <w:link w:val="BodyText"/>
    <w:uiPriority w:val="99"/>
    <w:semiHidden/>
    <w:rsid w:val="0094090D"/>
  </w:style>
  <w:style w:type="paragraph" w:customStyle="1" w:styleId="normal20">
    <w:name w:val="normal2"/>
    <w:basedOn w:val="Normal"/>
    <w:rsid w:val="00A840EB"/>
    <w:pPr>
      <w:spacing w:after="120" w:line="240" w:lineRule="auto"/>
      <w:ind w:left="1304"/>
      <w:jc w:val="both"/>
    </w:pPr>
    <w:rPr>
      <w:rFonts w:ascii="Arial" w:hAnsi="Arial" w:cs="Arial"/>
      <w:lang w:eastAsia="is-IS"/>
    </w:rPr>
  </w:style>
  <w:style w:type="character" w:styleId="CommentReference">
    <w:name w:val="annotation reference"/>
    <w:basedOn w:val="DefaultParagraphFont"/>
    <w:uiPriority w:val="99"/>
    <w:semiHidden/>
    <w:unhideWhenUsed/>
    <w:rsid w:val="00C743FC"/>
    <w:rPr>
      <w:sz w:val="16"/>
      <w:szCs w:val="16"/>
    </w:rPr>
  </w:style>
  <w:style w:type="paragraph" w:styleId="CommentText">
    <w:name w:val="annotation text"/>
    <w:basedOn w:val="Normal"/>
    <w:link w:val="CommentTextChar"/>
    <w:uiPriority w:val="99"/>
    <w:semiHidden/>
    <w:unhideWhenUsed/>
    <w:rsid w:val="00C743FC"/>
    <w:pPr>
      <w:spacing w:line="240" w:lineRule="auto"/>
    </w:pPr>
    <w:rPr>
      <w:sz w:val="20"/>
      <w:szCs w:val="20"/>
    </w:rPr>
  </w:style>
  <w:style w:type="character" w:customStyle="1" w:styleId="CommentTextChar">
    <w:name w:val="Comment Text Char"/>
    <w:basedOn w:val="DefaultParagraphFont"/>
    <w:link w:val="CommentText"/>
    <w:uiPriority w:val="99"/>
    <w:semiHidden/>
    <w:rsid w:val="00C743FC"/>
    <w:rPr>
      <w:sz w:val="20"/>
      <w:szCs w:val="20"/>
    </w:rPr>
  </w:style>
  <w:style w:type="paragraph" w:styleId="CommentSubject">
    <w:name w:val="annotation subject"/>
    <w:basedOn w:val="CommentText"/>
    <w:next w:val="CommentText"/>
    <w:link w:val="CommentSubjectChar"/>
    <w:uiPriority w:val="99"/>
    <w:semiHidden/>
    <w:unhideWhenUsed/>
    <w:rsid w:val="00C743FC"/>
    <w:rPr>
      <w:b/>
      <w:bCs/>
    </w:rPr>
  </w:style>
  <w:style w:type="character" w:customStyle="1" w:styleId="CommentSubjectChar">
    <w:name w:val="Comment Subject Char"/>
    <w:basedOn w:val="CommentTextChar"/>
    <w:link w:val="CommentSubject"/>
    <w:uiPriority w:val="99"/>
    <w:semiHidden/>
    <w:rsid w:val="00C743FC"/>
    <w:rPr>
      <w:b/>
      <w:bCs/>
      <w:sz w:val="20"/>
      <w:szCs w:val="20"/>
    </w:rPr>
  </w:style>
  <w:style w:type="character" w:customStyle="1" w:styleId="NormBkChar">
    <w:name w:val="NormBók Char"/>
    <w:basedOn w:val="DefaultParagraphFont"/>
    <w:link w:val="NormBk"/>
    <w:locked/>
    <w:rsid w:val="008C21D4"/>
    <w:rPr>
      <w:rFonts w:ascii="Arial" w:hAnsi="Arial" w:cs="Arial"/>
      <w:bCs/>
      <w:szCs w:val="24"/>
    </w:rPr>
  </w:style>
  <w:style w:type="paragraph" w:customStyle="1" w:styleId="NormBk">
    <w:name w:val="NormBók"/>
    <w:basedOn w:val="Normal"/>
    <w:link w:val="NormBkChar"/>
    <w:qFormat/>
    <w:rsid w:val="008C21D4"/>
    <w:pPr>
      <w:snapToGrid w:val="0"/>
      <w:spacing w:after="120" w:line="240" w:lineRule="auto"/>
      <w:jc w:val="both"/>
    </w:pPr>
    <w:rPr>
      <w:rFonts w:ascii="Arial" w:hAnsi="Arial" w:cs="Arial"/>
      <w:bCs/>
      <w:szCs w:val="24"/>
    </w:rPr>
  </w:style>
  <w:style w:type="paragraph" w:customStyle="1" w:styleId="normbk0">
    <w:name w:val="normbk"/>
    <w:basedOn w:val="Normal"/>
    <w:rsid w:val="000B1C4A"/>
    <w:pPr>
      <w:snapToGrid w:val="0"/>
      <w:spacing w:after="120" w:line="240" w:lineRule="auto"/>
      <w:jc w:val="both"/>
    </w:pPr>
    <w:rPr>
      <w:rFonts w:ascii="Arial" w:hAnsi="Arial" w:cs="Arial"/>
      <w:lang w:eastAsia="is-IS"/>
    </w:rPr>
  </w:style>
  <w:style w:type="table" w:styleId="TableGrid">
    <w:name w:val="Table Grid"/>
    <w:basedOn w:val="TableNormal"/>
    <w:uiPriority w:val="59"/>
    <w:rsid w:val="00452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
    <w:name w:val="texti"/>
    <w:basedOn w:val="Normal"/>
    <w:rsid w:val="003A1A25"/>
    <w:pPr>
      <w:autoSpaceDE w:val="0"/>
      <w:autoSpaceDN w:val="0"/>
      <w:spacing w:after="0" w:line="240" w:lineRule="auto"/>
      <w:ind w:left="810" w:hanging="810"/>
      <w:jc w:val="both"/>
    </w:pPr>
    <w:rPr>
      <w:rFonts w:ascii="Arial" w:eastAsia="Calibri" w:hAnsi="Arial" w:cs="Arial"/>
      <w:lang w:eastAsia="is-IS"/>
    </w:rPr>
  </w:style>
  <w:style w:type="paragraph" w:customStyle="1" w:styleId="NormFors">
    <w:name w:val="NormFors"/>
    <w:basedOn w:val="Normal"/>
    <w:qFormat/>
    <w:rsid w:val="00C808FD"/>
    <w:pPr>
      <w:snapToGrid w:val="0"/>
      <w:spacing w:after="120" w:line="240" w:lineRule="auto"/>
      <w:jc w:val="center"/>
    </w:pPr>
    <w:rPr>
      <w:rFonts w:ascii="Arial" w:eastAsia="Calibri" w:hAnsi="Arial" w:cs="Times New Roman"/>
      <w:b/>
      <w:bCs/>
      <w:szCs w:val="24"/>
    </w:rPr>
  </w:style>
  <w:style w:type="paragraph" w:styleId="NormalWeb">
    <w:name w:val="Normal (Web)"/>
    <w:basedOn w:val="Normal"/>
    <w:uiPriority w:val="99"/>
    <w:unhideWhenUsed/>
    <w:rsid w:val="00923C8D"/>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customStyle="1" w:styleId="NormGREIN">
    <w:name w:val="NormGREIN"/>
    <w:basedOn w:val="Normal"/>
    <w:qFormat/>
    <w:rsid w:val="00A5765A"/>
    <w:pPr>
      <w:spacing w:before="120" w:after="120" w:line="240" w:lineRule="auto"/>
      <w:ind w:left="357" w:hanging="357"/>
    </w:pPr>
    <w:rPr>
      <w:rFonts w:ascii="Arial" w:eastAsia="Calibri" w:hAnsi="Arial" w:cs="Times New Roman"/>
      <w:b/>
      <w:bCs/>
      <w:snapToGrid w:val="0"/>
      <w:color w:val="1F497D" w:themeColor="text2"/>
      <w:szCs w:val="24"/>
    </w:rPr>
  </w:style>
  <w:style w:type="character" w:customStyle="1" w:styleId="Heading1Char">
    <w:name w:val="Heading 1 Char"/>
    <w:basedOn w:val="DefaultParagraphFont"/>
    <w:link w:val="Heading1"/>
    <w:uiPriority w:val="9"/>
    <w:rsid w:val="001300FC"/>
    <w:rPr>
      <w:rFonts w:ascii="Arial" w:eastAsiaTheme="majorEastAsia" w:hAnsi="Arial" w:cstheme="majorBidi"/>
      <w:b/>
      <w:caps/>
      <w:color w:val="1F497D" w:themeColor="text2"/>
      <w:sz w:val="24"/>
      <w:szCs w:val="32"/>
    </w:rPr>
  </w:style>
  <w:style w:type="paragraph" w:styleId="TOCHeading">
    <w:name w:val="TOC Heading"/>
    <w:basedOn w:val="Heading1"/>
    <w:next w:val="Normal"/>
    <w:uiPriority w:val="39"/>
    <w:unhideWhenUsed/>
    <w:qFormat/>
    <w:rsid w:val="00BA3212"/>
    <w:pPr>
      <w:numPr>
        <w:numId w:val="0"/>
      </w:numPr>
      <w:spacing w:before="240" w:line="259" w:lineRule="auto"/>
      <w:outlineLvl w:val="9"/>
    </w:pPr>
    <w:rPr>
      <w:rFonts w:asciiTheme="majorHAnsi" w:hAnsiTheme="majorHAnsi"/>
      <w:b w:val="0"/>
      <w:caps w:val="0"/>
      <w:color w:val="365F91" w:themeColor="accent1" w:themeShade="BF"/>
      <w:sz w:val="32"/>
      <w:lang w:val="en-US"/>
    </w:rPr>
  </w:style>
  <w:style w:type="paragraph" w:styleId="TOC1">
    <w:name w:val="toc 1"/>
    <w:basedOn w:val="Normal"/>
    <w:next w:val="Normal"/>
    <w:autoRedefine/>
    <w:uiPriority w:val="39"/>
    <w:unhideWhenUsed/>
    <w:rsid w:val="00BA3212"/>
    <w:pPr>
      <w:spacing w:after="100"/>
    </w:pPr>
  </w:style>
  <w:style w:type="character" w:styleId="Hyperlink">
    <w:name w:val="Hyperlink"/>
    <w:basedOn w:val="DefaultParagraphFont"/>
    <w:uiPriority w:val="99"/>
    <w:unhideWhenUsed/>
    <w:rsid w:val="00BA3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327">
      <w:bodyDiv w:val="1"/>
      <w:marLeft w:val="0"/>
      <w:marRight w:val="0"/>
      <w:marTop w:val="0"/>
      <w:marBottom w:val="0"/>
      <w:divBdr>
        <w:top w:val="none" w:sz="0" w:space="0" w:color="auto"/>
        <w:left w:val="none" w:sz="0" w:space="0" w:color="auto"/>
        <w:bottom w:val="none" w:sz="0" w:space="0" w:color="auto"/>
        <w:right w:val="none" w:sz="0" w:space="0" w:color="auto"/>
      </w:divBdr>
    </w:div>
    <w:div w:id="96798653">
      <w:bodyDiv w:val="1"/>
      <w:marLeft w:val="0"/>
      <w:marRight w:val="0"/>
      <w:marTop w:val="0"/>
      <w:marBottom w:val="0"/>
      <w:divBdr>
        <w:top w:val="none" w:sz="0" w:space="0" w:color="auto"/>
        <w:left w:val="none" w:sz="0" w:space="0" w:color="auto"/>
        <w:bottom w:val="none" w:sz="0" w:space="0" w:color="auto"/>
        <w:right w:val="none" w:sz="0" w:space="0" w:color="auto"/>
      </w:divBdr>
    </w:div>
    <w:div w:id="126704148">
      <w:bodyDiv w:val="1"/>
      <w:marLeft w:val="0"/>
      <w:marRight w:val="0"/>
      <w:marTop w:val="0"/>
      <w:marBottom w:val="0"/>
      <w:divBdr>
        <w:top w:val="none" w:sz="0" w:space="0" w:color="auto"/>
        <w:left w:val="none" w:sz="0" w:space="0" w:color="auto"/>
        <w:bottom w:val="none" w:sz="0" w:space="0" w:color="auto"/>
        <w:right w:val="none" w:sz="0" w:space="0" w:color="auto"/>
      </w:divBdr>
    </w:div>
    <w:div w:id="132456115">
      <w:bodyDiv w:val="1"/>
      <w:marLeft w:val="0"/>
      <w:marRight w:val="0"/>
      <w:marTop w:val="0"/>
      <w:marBottom w:val="0"/>
      <w:divBdr>
        <w:top w:val="none" w:sz="0" w:space="0" w:color="auto"/>
        <w:left w:val="none" w:sz="0" w:space="0" w:color="auto"/>
        <w:bottom w:val="none" w:sz="0" w:space="0" w:color="auto"/>
        <w:right w:val="none" w:sz="0" w:space="0" w:color="auto"/>
      </w:divBdr>
    </w:div>
    <w:div w:id="139081469">
      <w:bodyDiv w:val="1"/>
      <w:marLeft w:val="0"/>
      <w:marRight w:val="0"/>
      <w:marTop w:val="0"/>
      <w:marBottom w:val="0"/>
      <w:divBdr>
        <w:top w:val="none" w:sz="0" w:space="0" w:color="auto"/>
        <w:left w:val="none" w:sz="0" w:space="0" w:color="auto"/>
        <w:bottom w:val="none" w:sz="0" w:space="0" w:color="auto"/>
        <w:right w:val="none" w:sz="0" w:space="0" w:color="auto"/>
      </w:divBdr>
    </w:div>
    <w:div w:id="214972620">
      <w:bodyDiv w:val="1"/>
      <w:marLeft w:val="0"/>
      <w:marRight w:val="0"/>
      <w:marTop w:val="0"/>
      <w:marBottom w:val="0"/>
      <w:divBdr>
        <w:top w:val="none" w:sz="0" w:space="0" w:color="auto"/>
        <w:left w:val="none" w:sz="0" w:space="0" w:color="auto"/>
        <w:bottom w:val="none" w:sz="0" w:space="0" w:color="auto"/>
        <w:right w:val="none" w:sz="0" w:space="0" w:color="auto"/>
      </w:divBdr>
    </w:div>
    <w:div w:id="291182219">
      <w:bodyDiv w:val="1"/>
      <w:marLeft w:val="0"/>
      <w:marRight w:val="0"/>
      <w:marTop w:val="0"/>
      <w:marBottom w:val="0"/>
      <w:divBdr>
        <w:top w:val="none" w:sz="0" w:space="0" w:color="auto"/>
        <w:left w:val="none" w:sz="0" w:space="0" w:color="auto"/>
        <w:bottom w:val="none" w:sz="0" w:space="0" w:color="auto"/>
        <w:right w:val="none" w:sz="0" w:space="0" w:color="auto"/>
      </w:divBdr>
    </w:div>
    <w:div w:id="337194074">
      <w:bodyDiv w:val="1"/>
      <w:marLeft w:val="0"/>
      <w:marRight w:val="0"/>
      <w:marTop w:val="0"/>
      <w:marBottom w:val="0"/>
      <w:divBdr>
        <w:top w:val="none" w:sz="0" w:space="0" w:color="auto"/>
        <w:left w:val="none" w:sz="0" w:space="0" w:color="auto"/>
        <w:bottom w:val="none" w:sz="0" w:space="0" w:color="auto"/>
        <w:right w:val="none" w:sz="0" w:space="0" w:color="auto"/>
      </w:divBdr>
    </w:div>
    <w:div w:id="353310324">
      <w:bodyDiv w:val="1"/>
      <w:marLeft w:val="0"/>
      <w:marRight w:val="0"/>
      <w:marTop w:val="0"/>
      <w:marBottom w:val="0"/>
      <w:divBdr>
        <w:top w:val="none" w:sz="0" w:space="0" w:color="auto"/>
        <w:left w:val="none" w:sz="0" w:space="0" w:color="auto"/>
        <w:bottom w:val="none" w:sz="0" w:space="0" w:color="auto"/>
        <w:right w:val="none" w:sz="0" w:space="0" w:color="auto"/>
      </w:divBdr>
    </w:div>
    <w:div w:id="371078446">
      <w:bodyDiv w:val="1"/>
      <w:marLeft w:val="0"/>
      <w:marRight w:val="0"/>
      <w:marTop w:val="0"/>
      <w:marBottom w:val="0"/>
      <w:divBdr>
        <w:top w:val="none" w:sz="0" w:space="0" w:color="auto"/>
        <w:left w:val="none" w:sz="0" w:space="0" w:color="auto"/>
        <w:bottom w:val="none" w:sz="0" w:space="0" w:color="auto"/>
        <w:right w:val="none" w:sz="0" w:space="0" w:color="auto"/>
      </w:divBdr>
    </w:div>
    <w:div w:id="383524321">
      <w:bodyDiv w:val="1"/>
      <w:marLeft w:val="0"/>
      <w:marRight w:val="0"/>
      <w:marTop w:val="0"/>
      <w:marBottom w:val="0"/>
      <w:divBdr>
        <w:top w:val="none" w:sz="0" w:space="0" w:color="auto"/>
        <w:left w:val="none" w:sz="0" w:space="0" w:color="auto"/>
        <w:bottom w:val="none" w:sz="0" w:space="0" w:color="auto"/>
        <w:right w:val="none" w:sz="0" w:space="0" w:color="auto"/>
      </w:divBdr>
    </w:div>
    <w:div w:id="397898224">
      <w:bodyDiv w:val="1"/>
      <w:marLeft w:val="0"/>
      <w:marRight w:val="0"/>
      <w:marTop w:val="0"/>
      <w:marBottom w:val="0"/>
      <w:divBdr>
        <w:top w:val="none" w:sz="0" w:space="0" w:color="auto"/>
        <w:left w:val="none" w:sz="0" w:space="0" w:color="auto"/>
        <w:bottom w:val="none" w:sz="0" w:space="0" w:color="auto"/>
        <w:right w:val="none" w:sz="0" w:space="0" w:color="auto"/>
      </w:divBdr>
    </w:div>
    <w:div w:id="398333321">
      <w:bodyDiv w:val="1"/>
      <w:marLeft w:val="0"/>
      <w:marRight w:val="0"/>
      <w:marTop w:val="0"/>
      <w:marBottom w:val="0"/>
      <w:divBdr>
        <w:top w:val="none" w:sz="0" w:space="0" w:color="auto"/>
        <w:left w:val="none" w:sz="0" w:space="0" w:color="auto"/>
        <w:bottom w:val="none" w:sz="0" w:space="0" w:color="auto"/>
        <w:right w:val="none" w:sz="0" w:space="0" w:color="auto"/>
      </w:divBdr>
    </w:div>
    <w:div w:id="416484353">
      <w:bodyDiv w:val="1"/>
      <w:marLeft w:val="0"/>
      <w:marRight w:val="0"/>
      <w:marTop w:val="0"/>
      <w:marBottom w:val="0"/>
      <w:divBdr>
        <w:top w:val="none" w:sz="0" w:space="0" w:color="auto"/>
        <w:left w:val="none" w:sz="0" w:space="0" w:color="auto"/>
        <w:bottom w:val="none" w:sz="0" w:space="0" w:color="auto"/>
        <w:right w:val="none" w:sz="0" w:space="0" w:color="auto"/>
      </w:divBdr>
    </w:div>
    <w:div w:id="424158753">
      <w:bodyDiv w:val="1"/>
      <w:marLeft w:val="0"/>
      <w:marRight w:val="0"/>
      <w:marTop w:val="0"/>
      <w:marBottom w:val="0"/>
      <w:divBdr>
        <w:top w:val="none" w:sz="0" w:space="0" w:color="auto"/>
        <w:left w:val="none" w:sz="0" w:space="0" w:color="auto"/>
        <w:bottom w:val="none" w:sz="0" w:space="0" w:color="auto"/>
        <w:right w:val="none" w:sz="0" w:space="0" w:color="auto"/>
      </w:divBdr>
    </w:div>
    <w:div w:id="428626638">
      <w:bodyDiv w:val="1"/>
      <w:marLeft w:val="0"/>
      <w:marRight w:val="0"/>
      <w:marTop w:val="0"/>
      <w:marBottom w:val="0"/>
      <w:divBdr>
        <w:top w:val="none" w:sz="0" w:space="0" w:color="auto"/>
        <w:left w:val="none" w:sz="0" w:space="0" w:color="auto"/>
        <w:bottom w:val="none" w:sz="0" w:space="0" w:color="auto"/>
        <w:right w:val="none" w:sz="0" w:space="0" w:color="auto"/>
      </w:divBdr>
    </w:div>
    <w:div w:id="486215935">
      <w:bodyDiv w:val="1"/>
      <w:marLeft w:val="0"/>
      <w:marRight w:val="0"/>
      <w:marTop w:val="0"/>
      <w:marBottom w:val="0"/>
      <w:divBdr>
        <w:top w:val="none" w:sz="0" w:space="0" w:color="auto"/>
        <w:left w:val="none" w:sz="0" w:space="0" w:color="auto"/>
        <w:bottom w:val="none" w:sz="0" w:space="0" w:color="auto"/>
        <w:right w:val="none" w:sz="0" w:space="0" w:color="auto"/>
      </w:divBdr>
    </w:div>
    <w:div w:id="522551207">
      <w:bodyDiv w:val="1"/>
      <w:marLeft w:val="0"/>
      <w:marRight w:val="0"/>
      <w:marTop w:val="0"/>
      <w:marBottom w:val="0"/>
      <w:divBdr>
        <w:top w:val="none" w:sz="0" w:space="0" w:color="auto"/>
        <w:left w:val="none" w:sz="0" w:space="0" w:color="auto"/>
        <w:bottom w:val="none" w:sz="0" w:space="0" w:color="auto"/>
        <w:right w:val="none" w:sz="0" w:space="0" w:color="auto"/>
      </w:divBdr>
    </w:div>
    <w:div w:id="539823146">
      <w:bodyDiv w:val="1"/>
      <w:marLeft w:val="0"/>
      <w:marRight w:val="0"/>
      <w:marTop w:val="0"/>
      <w:marBottom w:val="0"/>
      <w:divBdr>
        <w:top w:val="none" w:sz="0" w:space="0" w:color="auto"/>
        <w:left w:val="none" w:sz="0" w:space="0" w:color="auto"/>
        <w:bottom w:val="none" w:sz="0" w:space="0" w:color="auto"/>
        <w:right w:val="none" w:sz="0" w:space="0" w:color="auto"/>
      </w:divBdr>
    </w:div>
    <w:div w:id="552431001">
      <w:bodyDiv w:val="1"/>
      <w:marLeft w:val="0"/>
      <w:marRight w:val="0"/>
      <w:marTop w:val="0"/>
      <w:marBottom w:val="0"/>
      <w:divBdr>
        <w:top w:val="none" w:sz="0" w:space="0" w:color="auto"/>
        <w:left w:val="none" w:sz="0" w:space="0" w:color="auto"/>
        <w:bottom w:val="none" w:sz="0" w:space="0" w:color="auto"/>
        <w:right w:val="none" w:sz="0" w:space="0" w:color="auto"/>
      </w:divBdr>
    </w:div>
    <w:div w:id="763107421">
      <w:bodyDiv w:val="1"/>
      <w:marLeft w:val="0"/>
      <w:marRight w:val="0"/>
      <w:marTop w:val="0"/>
      <w:marBottom w:val="0"/>
      <w:divBdr>
        <w:top w:val="none" w:sz="0" w:space="0" w:color="auto"/>
        <w:left w:val="none" w:sz="0" w:space="0" w:color="auto"/>
        <w:bottom w:val="none" w:sz="0" w:space="0" w:color="auto"/>
        <w:right w:val="none" w:sz="0" w:space="0" w:color="auto"/>
      </w:divBdr>
    </w:div>
    <w:div w:id="877471979">
      <w:bodyDiv w:val="1"/>
      <w:marLeft w:val="0"/>
      <w:marRight w:val="0"/>
      <w:marTop w:val="0"/>
      <w:marBottom w:val="0"/>
      <w:divBdr>
        <w:top w:val="none" w:sz="0" w:space="0" w:color="auto"/>
        <w:left w:val="none" w:sz="0" w:space="0" w:color="auto"/>
        <w:bottom w:val="none" w:sz="0" w:space="0" w:color="auto"/>
        <w:right w:val="none" w:sz="0" w:space="0" w:color="auto"/>
      </w:divBdr>
    </w:div>
    <w:div w:id="878787378">
      <w:bodyDiv w:val="1"/>
      <w:marLeft w:val="0"/>
      <w:marRight w:val="0"/>
      <w:marTop w:val="0"/>
      <w:marBottom w:val="0"/>
      <w:divBdr>
        <w:top w:val="none" w:sz="0" w:space="0" w:color="auto"/>
        <w:left w:val="none" w:sz="0" w:space="0" w:color="auto"/>
        <w:bottom w:val="none" w:sz="0" w:space="0" w:color="auto"/>
        <w:right w:val="none" w:sz="0" w:space="0" w:color="auto"/>
      </w:divBdr>
    </w:div>
    <w:div w:id="927352245">
      <w:bodyDiv w:val="1"/>
      <w:marLeft w:val="0"/>
      <w:marRight w:val="0"/>
      <w:marTop w:val="0"/>
      <w:marBottom w:val="0"/>
      <w:divBdr>
        <w:top w:val="none" w:sz="0" w:space="0" w:color="auto"/>
        <w:left w:val="none" w:sz="0" w:space="0" w:color="auto"/>
        <w:bottom w:val="none" w:sz="0" w:space="0" w:color="auto"/>
        <w:right w:val="none" w:sz="0" w:space="0" w:color="auto"/>
      </w:divBdr>
    </w:div>
    <w:div w:id="976837784">
      <w:bodyDiv w:val="1"/>
      <w:marLeft w:val="0"/>
      <w:marRight w:val="0"/>
      <w:marTop w:val="0"/>
      <w:marBottom w:val="0"/>
      <w:divBdr>
        <w:top w:val="none" w:sz="0" w:space="0" w:color="auto"/>
        <w:left w:val="none" w:sz="0" w:space="0" w:color="auto"/>
        <w:bottom w:val="none" w:sz="0" w:space="0" w:color="auto"/>
        <w:right w:val="none" w:sz="0" w:space="0" w:color="auto"/>
      </w:divBdr>
    </w:div>
    <w:div w:id="993026163">
      <w:bodyDiv w:val="1"/>
      <w:marLeft w:val="0"/>
      <w:marRight w:val="0"/>
      <w:marTop w:val="0"/>
      <w:marBottom w:val="0"/>
      <w:divBdr>
        <w:top w:val="none" w:sz="0" w:space="0" w:color="auto"/>
        <w:left w:val="none" w:sz="0" w:space="0" w:color="auto"/>
        <w:bottom w:val="none" w:sz="0" w:space="0" w:color="auto"/>
        <w:right w:val="none" w:sz="0" w:space="0" w:color="auto"/>
      </w:divBdr>
    </w:div>
    <w:div w:id="1046370792">
      <w:bodyDiv w:val="1"/>
      <w:marLeft w:val="0"/>
      <w:marRight w:val="0"/>
      <w:marTop w:val="0"/>
      <w:marBottom w:val="0"/>
      <w:divBdr>
        <w:top w:val="none" w:sz="0" w:space="0" w:color="auto"/>
        <w:left w:val="none" w:sz="0" w:space="0" w:color="auto"/>
        <w:bottom w:val="none" w:sz="0" w:space="0" w:color="auto"/>
        <w:right w:val="none" w:sz="0" w:space="0" w:color="auto"/>
      </w:divBdr>
    </w:div>
    <w:div w:id="1054691953">
      <w:bodyDiv w:val="1"/>
      <w:marLeft w:val="0"/>
      <w:marRight w:val="0"/>
      <w:marTop w:val="0"/>
      <w:marBottom w:val="0"/>
      <w:divBdr>
        <w:top w:val="none" w:sz="0" w:space="0" w:color="auto"/>
        <w:left w:val="none" w:sz="0" w:space="0" w:color="auto"/>
        <w:bottom w:val="none" w:sz="0" w:space="0" w:color="auto"/>
        <w:right w:val="none" w:sz="0" w:space="0" w:color="auto"/>
      </w:divBdr>
    </w:div>
    <w:div w:id="1055857699">
      <w:bodyDiv w:val="1"/>
      <w:marLeft w:val="0"/>
      <w:marRight w:val="0"/>
      <w:marTop w:val="0"/>
      <w:marBottom w:val="0"/>
      <w:divBdr>
        <w:top w:val="none" w:sz="0" w:space="0" w:color="auto"/>
        <w:left w:val="none" w:sz="0" w:space="0" w:color="auto"/>
        <w:bottom w:val="none" w:sz="0" w:space="0" w:color="auto"/>
        <w:right w:val="none" w:sz="0" w:space="0" w:color="auto"/>
      </w:divBdr>
    </w:div>
    <w:div w:id="1074085079">
      <w:bodyDiv w:val="1"/>
      <w:marLeft w:val="0"/>
      <w:marRight w:val="0"/>
      <w:marTop w:val="0"/>
      <w:marBottom w:val="0"/>
      <w:divBdr>
        <w:top w:val="none" w:sz="0" w:space="0" w:color="auto"/>
        <w:left w:val="none" w:sz="0" w:space="0" w:color="auto"/>
        <w:bottom w:val="none" w:sz="0" w:space="0" w:color="auto"/>
        <w:right w:val="none" w:sz="0" w:space="0" w:color="auto"/>
      </w:divBdr>
    </w:div>
    <w:div w:id="1147087377">
      <w:bodyDiv w:val="1"/>
      <w:marLeft w:val="0"/>
      <w:marRight w:val="0"/>
      <w:marTop w:val="0"/>
      <w:marBottom w:val="0"/>
      <w:divBdr>
        <w:top w:val="none" w:sz="0" w:space="0" w:color="auto"/>
        <w:left w:val="none" w:sz="0" w:space="0" w:color="auto"/>
        <w:bottom w:val="none" w:sz="0" w:space="0" w:color="auto"/>
        <w:right w:val="none" w:sz="0" w:space="0" w:color="auto"/>
      </w:divBdr>
    </w:div>
    <w:div w:id="1147363152">
      <w:bodyDiv w:val="1"/>
      <w:marLeft w:val="0"/>
      <w:marRight w:val="0"/>
      <w:marTop w:val="0"/>
      <w:marBottom w:val="0"/>
      <w:divBdr>
        <w:top w:val="none" w:sz="0" w:space="0" w:color="auto"/>
        <w:left w:val="none" w:sz="0" w:space="0" w:color="auto"/>
        <w:bottom w:val="none" w:sz="0" w:space="0" w:color="auto"/>
        <w:right w:val="none" w:sz="0" w:space="0" w:color="auto"/>
      </w:divBdr>
    </w:div>
    <w:div w:id="1148202658">
      <w:bodyDiv w:val="1"/>
      <w:marLeft w:val="0"/>
      <w:marRight w:val="0"/>
      <w:marTop w:val="0"/>
      <w:marBottom w:val="0"/>
      <w:divBdr>
        <w:top w:val="none" w:sz="0" w:space="0" w:color="auto"/>
        <w:left w:val="none" w:sz="0" w:space="0" w:color="auto"/>
        <w:bottom w:val="none" w:sz="0" w:space="0" w:color="auto"/>
        <w:right w:val="none" w:sz="0" w:space="0" w:color="auto"/>
      </w:divBdr>
    </w:div>
    <w:div w:id="1210336696">
      <w:bodyDiv w:val="1"/>
      <w:marLeft w:val="0"/>
      <w:marRight w:val="0"/>
      <w:marTop w:val="0"/>
      <w:marBottom w:val="0"/>
      <w:divBdr>
        <w:top w:val="none" w:sz="0" w:space="0" w:color="auto"/>
        <w:left w:val="none" w:sz="0" w:space="0" w:color="auto"/>
        <w:bottom w:val="none" w:sz="0" w:space="0" w:color="auto"/>
        <w:right w:val="none" w:sz="0" w:space="0" w:color="auto"/>
      </w:divBdr>
    </w:div>
    <w:div w:id="1438721544">
      <w:bodyDiv w:val="1"/>
      <w:marLeft w:val="0"/>
      <w:marRight w:val="0"/>
      <w:marTop w:val="0"/>
      <w:marBottom w:val="0"/>
      <w:divBdr>
        <w:top w:val="none" w:sz="0" w:space="0" w:color="auto"/>
        <w:left w:val="none" w:sz="0" w:space="0" w:color="auto"/>
        <w:bottom w:val="none" w:sz="0" w:space="0" w:color="auto"/>
        <w:right w:val="none" w:sz="0" w:space="0" w:color="auto"/>
      </w:divBdr>
    </w:div>
    <w:div w:id="1469467504">
      <w:bodyDiv w:val="1"/>
      <w:marLeft w:val="0"/>
      <w:marRight w:val="0"/>
      <w:marTop w:val="0"/>
      <w:marBottom w:val="0"/>
      <w:divBdr>
        <w:top w:val="none" w:sz="0" w:space="0" w:color="auto"/>
        <w:left w:val="none" w:sz="0" w:space="0" w:color="auto"/>
        <w:bottom w:val="none" w:sz="0" w:space="0" w:color="auto"/>
        <w:right w:val="none" w:sz="0" w:space="0" w:color="auto"/>
      </w:divBdr>
    </w:div>
    <w:div w:id="1472013870">
      <w:bodyDiv w:val="1"/>
      <w:marLeft w:val="0"/>
      <w:marRight w:val="0"/>
      <w:marTop w:val="0"/>
      <w:marBottom w:val="0"/>
      <w:divBdr>
        <w:top w:val="none" w:sz="0" w:space="0" w:color="auto"/>
        <w:left w:val="none" w:sz="0" w:space="0" w:color="auto"/>
        <w:bottom w:val="none" w:sz="0" w:space="0" w:color="auto"/>
        <w:right w:val="none" w:sz="0" w:space="0" w:color="auto"/>
      </w:divBdr>
    </w:div>
    <w:div w:id="1488325554">
      <w:bodyDiv w:val="1"/>
      <w:marLeft w:val="0"/>
      <w:marRight w:val="0"/>
      <w:marTop w:val="0"/>
      <w:marBottom w:val="0"/>
      <w:divBdr>
        <w:top w:val="none" w:sz="0" w:space="0" w:color="auto"/>
        <w:left w:val="none" w:sz="0" w:space="0" w:color="auto"/>
        <w:bottom w:val="none" w:sz="0" w:space="0" w:color="auto"/>
        <w:right w:val="none" w:sz="0" w:space="0" w:color="auto"/>
      </w:divBdr>
    </w:div>
    <w:div w:id="1603873805">
      <w:bodyDiv w:val="1"/>
      <w:marLeft w:val="0"/>
      <w:marRight w:val="0"/>
      <w:marTop w:val="0"/>
      <w:marBottom w:val="0"/>
      <w:divBdr>
        <w:top w:val="none" w:sz="0" w:space="0" w:color="auto"/>
        <w:left w:val="none" w:sz="0" w:space="0" w:color="auto"/>
        <w:bottom w:val="none" w:sz="0" w:space="0" w:color="auto"/>
        <w:right w:val="none" w:sz="0" w:space="0" w:color="auto"/>
      </w:divBdr>
    </w:div>
    <w:div w:id="1634797895">
      <w:bodyDiv w:val="1"/>
      <w:marLeft w:val="0"/>
      <w:marRight w:val="0"/>
      <w:marTop w:val="0"/>
      <w:marBottom w:val="0"/>
      <w:divBdr>
        <w:top w:val="none" w:sz="0" w:space="0" w:color="auto"/>
        <w:left w:val="none" w:sz="0" w:space="0" w:color="auto"/>
        <w:bottom w:val="none" w:sz="0" w:space="0" w:color="auto"/>
        <w:right w:val="none" w:sz="0" w:space="0" w:color="auto"/>
      </w:divBdr>
    </w:div>
    <w:div w:id="1707633400">
      <w:bodyDiv w:val="1"/>
      <w:marLeft w:val="0"/>
      <w:marRight w:val="0"/>
      <w:marTop w:val="0"/>
      <w:marBottom w:val="0"/>
      <w:divBdr>
        <w:top w:val="none" w:sz="0" w:space="0" w:color="auto"/>
        <w:left w:val="none" w:sz="0" w:space="0" w:color="auto"/>
        <w:bottom w:val="none" w:sz="0" w:space="0" w:color="auto"/>
        <w:right w:val="none" w:sz="0" w:space="0" w:color="auto"/>
      </w:divBdr>
    </w:div>
    <w:div w:id="1955283124">
      <w:bodyDiv w:val="1"/>
      <w:marLeft w:val="0"/>
      <w:marRight w:val="0"/>
      <w:marTop w:val="0"/>
      <w:marBottom w:val="0"/>
      <w:divBdr>
        <w:top w:val="none" w:sz="0" w:space="0" w:color="auto"/>
        <w:left w:val="none" w:sz="0" w:space="0" w:color="auto"/>
        <w:bottom w:val="none" w:sz="0" w:space="0" w:color="auto"/>
        <w:right w:val="none" w:sz="0" w:space="0" w:color="auto"/>
      </w:divBdr>
    </w:div>
    <w:div w:id="1959483542">
      <w:bodyDiv w:val="1"/>
      <w:marLeft w:val="0"/>
      <w:marRight w:val="0"/>
      <w:marTop w:val="0"/>
      <w:marBottom w:val="0"/>
      <w:divBdr>
        <w:top w:val="none" w:sz="0" w:space="0" w:color="auto"/>
        <w:left w:val="none" w:sz="0" w:space="0" w:color="auto"/>
        <w:bottom w:val="none" w:sz="0" w:space="0" w:color="auto"/>
        <w:right w:val="none" w:sz="0" w:space="0" w:color="auto"/>
      </w:divBdr>
    </w:div>
    <w:div w:id="2027318502">
      <w:bodyDiv w:val="1"/>
      <w:marLeft w:val="0"/>
      <w:marRight w:val="0"/>
      <w:marTop w:val="0"/>
      <w:marBottom w:val="0"/>
      <w:divBdr>
        <w:top w:val="none" w:sz="0" w:space="0" w:color="auto"/>
        <w:left w:val="none" w:sz="0" w:space="0" w:color="auto"/>
        <w:bottom w:val="none" w:sz="0" w:space="0" w:color="auto"/>
        <w:right w:val="none" w:sz="0" w:space="0" w:color="auto"/>
      </w:divBdr>
    </w:div>
    <w:div w:id="2028946236">
      <w:bodyDiv w:val="1"/>
      <w:marLeft w:val="0"/>
      <w:marRight w:val="0"/>
      <w:marTop w:val="0"/>
      <w:marBottom w:val="0"/>
      <w:divBdr>
        <w:top w:val="none" w:sz="0" w:space="0" w:color="auto"/>
        <w:left w:val="none" w:sz="0" w:space="0" w:color="auto"/>
        <w:bottom w:val="none" w:sz="0" w:space="0" w:color="auto"/>
        <w:right w:val="none" w:sz="0" w:space="0" w:color="auto"/>
      </w:divBdr>
    </w:div>
    <w:div w:id="2059472890">
      <w:bodyDiv w:val="1"/>
      <w:marLeft w:val="0"/>
      <w:marRight w:val="0"/>
      <w:marTop w:val="0"/>
      <w:marBottom w:val="0"/>
      <w:divBdr>
        <w:top w:val="none" w:sz="0" w:space="0" w:color="auto"/>
        <w:left w:val="none" w:sz="0" w:space="0" w:color="auto"/>
        <w:bottom w:val="none" w:sz="0" w:space="0" w:color="auto"/>
        <w:right w:val="none" w:sz="0" w:space="0" w:color="auto"/>
      </w:divBdr>
    </w:div>
    <w:div w:id="2069183909">
      <w:bodyDiv w:val="1"/>
      <w:marLeft w:val="0"/>
      <w:marRight w:val="0"/>
      <w:marTop w:val="0"/>
      <w:marBottom w:val="0"/>
      <w:divBdr>
        <w:top w:val="none" w:sz="0" w:space="0" w:color="auto"/>
        <w:left w:val="none" w:sz="0" w:space="0" w:color="auto"/>
        <w:bottom w:val="none" w:sz="0" w:space="0" w:color="auto"/>
        <w:right w:val="none" w:sz="0" w:space="0" w:color="auto"/>
      </w:divBdr>
    </w:div>
    <w:div w:id="2089188052">
      <w:bodyDiv w:val="1"/>
      <w:marLeft w:val="0"/>
      <w:marRight w:val="0"/>
      <w:marTop w:val="0"/>
      <w:marBottom w:val="0"/>
      <w:divBdr>
        <w:top w:val="none" w:sz="0" w:space="0" w:color="auto"/>
        <w:left w:val="none" w:sz="0" w:space="0" w:color="auto"/>
        <w:bottom w:val="none" w:sz="0" w:space="0" w:color="auto"/>
        <w:right w:val="none" w:sz="0" w:space="0" w:color="auto"/>
      </w:divBdr>
    </w:div>
    <w:div w:id="21193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44924-C8C4-4C6B-823A-09AF963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Rún Ólafsdóttir</dc:creator>
  <cp:lastModifiedBy>Þorsteinn Gunnarsson</cp:lastModifiedBy>
  <cp:revision>2</cp:revision>
  <cp:lastPrinted>2014-08-14T15:08:00Z</cp:lastPrinted>
  <dcterms:created xsi:type="dcterms:W3CDTF">2014-08-21T12:12:00Z</dcterms:created>
  <dcterms:modified xsi:type="dcterms:W3CDTF">2014-08-21T12:12:00Z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DRÖG_Samkomulag Samiðn og SNS 2014-2015.docx</vt:lpwstr>
  </property>
  <property fmtid="{D5CDD505-2E9C-101B-9397-08002B2CF9AE}" pid="3" name="One_Number">
    <vt:lpwstr>1311072SA</vt:lpwstr>
  </property>
  <property fmtid="{D5CDD505-2E9C-101B-9397-08002B2CF9AE}" pid="4" name="One_Employee">
    <vt:lpwstr>Inga Rún Ólafsdóttir</vt:lpwstr>
  </property>
  <property fmtid="{D5CDD505-2E9C-101B-9397-08002B2CF9AE}" pid="5" name="One_Status">
    <vt:lpwstr/>
  </property>
  <property fmtid="{D5CDD505-2E9C-101B-9397-08002B2CF9AE}" pid="6" name="One_FileComment">
    <vt:lpwstr/>
  </property>
  <property fmtid="{D5CDD505-2E9C-101B-9397-08002B2CF9AE}" pid="7" name="One_Author">
    <vt:lpwstr>Inga Rún Ólafsdóttir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0.7</vt:lpwstr>
  </property>
</Properties>
</file>